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4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40"/>
        <w:jc w:val="left"/>
        <w:rPr/>
      </w:pPr>
      <w:r>
        <w:rPr>
          <w:color w:val="000000"/>
        </w:rPr>
        <w:t xml:space="preserve">☒ </w:t>
      </w:r>
      <w:r>
        <w:rPr>
          <w:rFonts w:ascii="Times New Roman;sans-serif" w:hAnsi="Times New Roman;sans-serif"/>
          <w:b/>
          <w:color w:val="000000"/>
          <w:sz w:val="24"/>
        </w:rPr>
        <w:t>QUARTERLY REPORT PURSUANT TO SECTION 13 OR 15(d) OF THE SECURITIES EXCHANGE ACT OF 1934</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40"/>
        <w:jc w:val="left"/>
        <w:rPr/>
      </w:pPr>
      <w:r>
        <w:rPr>
          <w:color w:val="000000"/>
        </w:rPr>
        <w:t xml:space="preserve">☐ </w:t>
      </w:r>
      <w:r>
        <w:rPr>
          <w:rFonts w:ascii="Times New Roman;sans-serif" w:hAnsi="Times New Roman;sans-serif"/>
          <w:b/>
          <w:color w:val="000000"/>
          <w:sz w:val="24"/>
        </w:rPr>
        <w:t>TRANSITION REPORT PURSUANT TO SECTION 13 OR 15(d) OF THE SECURITIES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Commission file number: 001-11693</w:t>
      </w:r>
    </w:p>
    <w:p>
      <w:pPr>
        <w:pStyle w:val="TextBody"/>
        <w:bidi w:val="0"/>
        <w:spacing w:before="0" w:after="40"/>
        <w:jc w:val="center"/>
        <w:rPr/>
      </w:pPr>
      <w:r>
        <w:rPr/>
        <w:drawing>
          <wp:inline distT="0" distB="0" distL="0" distR="0">
            <wp:extent cx="14287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5810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LIGHT &amp; WONDER,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81-0422894</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tbl>
      <w:tblPr>
        <w:tblW w:w="4826" w:type="dxa"/>
        <w:jc w:val="center"/>
        <w:tblInd w:w="0" w:type="dxa"/>
        <w:tblLayout w:type="fixed"/>
        <w:tblCellMar>
          <w:top w:w="28" w:type="dxa"/>
          <w:left w:w="28" w:type="dxa"/>
          <w:bottom w:w="28" w:type="dxa"/>
          <w:right w:w="28" w:type="dxa"/>
        </w:tblCellMar>
      </w:tblPr>
      <w:tblGrid>
        <w:gridCol w:w="1294"/>
        <w:gridCol w:w="1134"/>
        <w:gridCol w:w="1142"/>
        <w:gridCol w:w="109"/>
        <w:gridCol w:w="109"/>
        <w:gridCol w:w="109"/>
        <w:gridCol w:w="272"/>
        <w:gridCol w:w="272"/>
        <w:gridCol w:w="385"/>
      </w:tblGrid>
      <w:tr>
        <w:trPr/>
        <w:tc>
          <w:tcPr>
            <w:tcW w:w="129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6601 Bermuda Road, Las Vegas, 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89119</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(702) 897-7150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144" w:type="dxa"/>
        <w:jc w:val="center"/>
        <w:tblInd w:w="0" w:type="dxa"/>
        <w:tblLayout w:type="fixed"/>
        <w:tblCellMar>
          <w:top w:w="28" w:type="dxa"/>
          <w:left w:w="28" w:type="dxa"/>
          <w:bottom w:w="28" w:type="dxa"/>
          <w:right w:w="28" w:type="dxa"/>
        </w:tblCellMar>
      </w:tblPr>
      <w:tblGrid>
        <w:gridCol w:w="1021"/>
        <w:gridCol w:w="894"/>
        <w:gridCol w:w="905"/>
        <w:gridCol w:w="539"/>
        <w:gridCol w:w="539"/>
        <w:gridCol w:w="541"/>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LNW</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w:t>
            </w:r>
          </w:p>
        </w:tc>
      </w:tr>
    </w:tbl>
    <w:p>
      <w:pPr>
        <w:pStyle w:val="TextBody"/>
        <w:bidi w:val="0"/>
        <w:spacing w:lineRule="auto" w:line="288" w:before="0" w:after="40"/>
        <w:jc w:val="left"/>
        <w:rPr>
          <w:color w:val="000000"/>
        </w:rPr>
      </w:pPr>
      <w:r>
        <w:rPr>
          <w:color w:val="000000"/>
        </w:rPr>
        <w:t> </w:t>
      </w:r>
    </w:p>
    <w:p>
      <w:pPr>
        <w:pStyle w:val="TextBody"/>
        <w:bidi w:val="0"/>
        <w:spacing w:lineRule="auto" w:line="288" w:before="0" w:after="160"/>
        <w:ind w:left="0" w:right="0" w:firstLine="36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160"/>
        <w:ind w:left="0" w:right="0" w:firstLine="36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12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13" w:type="dxa"/>
        <w:jc w:val="center"/>
        <w:tblInd w:w="0" w:type="dxa"/>
        <w:tblLayout w:type="fixed"/>
        <w:tblCellMar>
          <w:top w:w="28" w:type="dxa"/>
          <w:left w:w="28" w:type="dxa"/>
          <w:bottom w:w="28" w:type="dxa"/>
          <w:right w:w="28" w:type="dxa"/>
        </w:tblCellMar>
      </w:tblPr>
      <w:tblGrid>
        <w:gridCol w:w="777"/>
        <w:gridCol w:w="683"/>
        <w:gridCol w:w="685"/>
        <w:gridCol w:w="109"/>
        <w:gridCol w:w="109"/>
        <w:gridCol w:w="109"/>
        <w:gridCol w:w="689"/>
        <w:gridCol w:w="689"/>
        <w:gridCol w:w="691"/>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60"/>
        <w:ind w:left="0" w:right="0" w:firstLine="36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16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outstanding as of August 4, 2023 was 91,356,867.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AND OTHER INFORMATION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AND SIX MONTHS ENDED JUNE 30, 2023</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98"/>
        <w:gridCol w:w="263"/>
        <w:gridCol w:w="265"/>
        <w:gridCol w:w="2944"/>
        <w:gridCol w:w="2944"/>
        <w:gridCol w:w="2949"/>
        <w:gridCol w:w="158"/>
        <w:gridCol w:w="158"/>
        <w:gridCol w:w="22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9">
              <w:r>
                <w:rPr>
                  <w:rStyle w:val="InternetLink"/>
                  <w:rFonts w:ascii="Times New Roman;sans-serif" w:hAnsi="Times New Roman;sans-serif"/>
                  <w:b w:val="false"/>
                  <w:color w:val="0000FF"/>
                  <w:sz w:val="20"/>
                  <w:u w:val="single"/>
                </w:rPr>
                <w:t>PART I.</w:t>
              </w:r>
            </w:hyperlink>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9">
              <w:r>
                <w:rPr>
                  <w:rStyle w:val="InternetLink"/>
                  <w:rFonts w:ascii="Times New Roman;sans-serif" w:hAnsi="Times New Roman;sans-serif"/>
                  <w:b w:val="false"/>
                  <w:color w:val="0000FF"/>
                  <w:sz w:val="20"/>
                  <w:u w:val="single"/>
                </w:rPr>
                <w:t>FINANCIAL INFORMATION</w:t>
              </w:r>
            </w:hyperlink>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22">
              <w:r>
                <w:rPr>
                  <w:rStyle w:val="InternetLink"/>
                  <w:rFonts w:ascii="Times New Roman;sans-serif" w:hAnsi="Times New Roman;sans-serif"/>
                  <w:b w:val="false"/>
                  <w:color w:val="0000FF"/>
                  <w:sz w:val="20"/>
                  <w:u w:val="single"/>
                </w:rPr>
                <w:t>Condensed Consolidated 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22">
              <w:r>
                <w:rPr>
                  <w:rStyle w:val="InternetLink"/>
                  <w:rFonts w:ascii="Times New Roman;sans-serif" w:hAnsi="Times New Roman;sans-serif"/>
                  <w:b w:val="false"/>
                  <w:color w:val="0000FF"/>
                  <w:sz w:val="20"/>
                  <w:u w:val="singl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25">
              <w:r>
                <w:rPr>
                  <w:rStyle w:val="InternetLink"/>
                  <w:rFonts w:ascii="Times New Roman;sans-serif" w:hAnsi="Times New Roman;sans-serif"/>
                  <w:b w:val="false"/>
                  <w:color w:val="0000FF"/>
                  <w:sz w:val="20"/>
                  <w:u w:val="single"/>
                </w:rPr>
                <w:t>Consolidated Statements of Operations for the Three and Six Months Ended June 30, 2023 and 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25">
              <w:r>
                <w:rPr>
                  <w:rStyle w:val="InternetLink"/>
                  <w:rFonts w:ascii="Times New Roman;sans-serif" w:hAnsi="Times New Roman;sans-serif"/>
                  <w:b w:val="false"/>
                  <w:color w:val="0000FF"/>
                  <w:sz w:val="20"/>
                  <w:u w:val="singl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641ebb5b704de49d595b5ead1573d0_28">
              <w:r>
                <w:rPr>
                  <w:rStyle w:val="InternetLink"/>
                  <w:rFonts w:ascii="Times New Roman;sans-serif" w:hAnsi="Times New Roman;sans-serif"/>
                  <w:b w:val="false"/>
                  <w:color w:val="000080"/>
                  <w:sz w:val="20"/>
                  <w:u w:val="single"/>
                </w:rPr>
                <w:t>Consolidated Statements of Comprehensive Income</w:t>
              </w:r>
            </w:hyperlink>
            <w:hyperlink w:anchor="iba641ebb5b704de49d595b5ead1573d0_28">
              <w:r>
                <w:rPr>
                  <w:rStyle w:val="InternetLink"/>
                  <w:rFonts w:ascii="Times New Roman;sans-serif" w:hAnsi="Times New Roman;sans-serif"/>
                  <w:b w:val="false"/>
                  <w:color w:val="000080"/>
                  <w:sz w:val="20"/>
                  <w:u w:val="single"/>
                </w:rPr>
                <w:t xml:space="preserve"> for the Three and Six Months Ended June 30, 2023 and 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28">
              <w:r>
                <w:rPr>
                  <w:rStyle w:val="InternetLink"/>
                  <w:rFonts w:ascii="Times New Roman;sans-serif" w:hAnsi="Times New Roman;sans-serif"/>
                  <w:b w:val="false"/>
                  <w:color w:val="0000FF"/>
                  <w:sz w:val="20"/>
                  <w:u w:val="single"/>
                </w:rPr>
                <w:t>8</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31">
              <w:r>
                <w:rPr>
                  <w:rStyle w:val="InternetLink"/>
                  <w:rFonts w:ascii="Times New Roman;sans-serif" w:hAnsi="Times New Roman;sans-serif"/>
                  <w:b w:val="false"/>
                  <w:color w:val="0000FF"/>
                  <w:sz w:val="20"/>
                  <w:u w:val="single"/>
                </w:rPr>
                <w:t>Consolidated Balance Sheets as of June 30, 2023 and December 31, 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31">
              <w:r>
                <w:rPr>
                  <w:rStyle w:val="InternetLink"/>
                  <w:rFonts w:ascii="Times New Roman;sans-serif" w:hAnsi="Times New Roman;sans-serif"/>
                  <w:b w:val="false"/>
                  <w:color w:val="0000FF"/>
                  <w:sz w:val="20"/>
                  <w:u w:val="single"/>
                </w:rPr>
                <w:t>9</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34">
              <w:r>
                <w:rPr>
                  <w:rStyle w:val="InternetLink"/>
                  <w:rFonts w:ascii="Times New Roman;sans-serif" w:hAnsi="Times New Roman;sans-serif"/>
                  <w:b w:val="false"/>
                  <w:color w:val="0000FF"/>
                  <w:sz w:val="20"/>
                  <w:u w:val="single"/>
                </w:rPr>
                <w:t>Condensed Consolidated Statements of Cash Flows for the Six Months Ended June 30, 2023 and 2022</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34">
              <w:r>
                <w:rPr>
                  <w:rStyle w:val="InternetLink"/>
                  <w:rFonts w:ascii="Times New Roman;sans-serif" w:hAnsi="Times New Roman;sans-serif"/>
                  <w:b w:val="false"/>
                  <w:color w:val="0000FF"/>
                  <w:sz w:val="20"/>
                  <w:u w:val="single"/>
                </w:rPr>
                <w:t>10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37">
              <w:r>
                <w:rPr>
                  <w:rStyle w:val="InternetLink"/>
                  <w:rFonts w:ascii="Times New Roman;sans-serif" w:hAnsi="Times New Roman;sans-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37">
              <w:r>
                <w:rPr>
                  <w:rStyle w:val="InternetLink"/>
                  <w:rFonts w:ascii="Times New Roman;sans-serif" w:hAnsi="Times New Roman;sans-serif"/>
                  <w:b w:val="false"/>
                  <w:color w:val="0000FF"/>
                  <w:sz w:val="20"/>
                  <w:u w:val="single"/>
                </w:rPr>
                <w:t>11</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9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94">
              <w:r>
                <w:rPr>
                  <w:rStyle w:val="InternetLink"/>
                  <w:rFonts w:ascii="Times New Roman;sans-serif" w:hAnsi="Times New Roman;sans-serif"/>
                  <w:b w:val="false"/>
                  <w:color w:val="0000FF"/>
                  <w:sz w:val="20"/>
                  <w:u w:val="single"/>
                </w:rPr>
                <w:t>30</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36">
              <w:r>
                <w:rPr>
                  <w:rStyle w:val="InternetLink"/>
                  <w:rFonts w:ascii="Times New Roman;sans-serif" w:hAnsi="Times New Roman;sans-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136">
              <w:r>
                <w:rPr>
                  <w:rStyle w:val="InternetLink"/>
                  <w:rFonts w:ascii="Times New Roman;sans-serif" w:hAnsi="Times New Roman;sans-serif"/>
                  <w:b w:val="false"/>
                  <w:color w:val="0000FF"/>
                  <w:sz w:val="20"/>
                  <w:u w:val="single"/>
                </w:rPr>
                <w:t>42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39">
              <w:r>
                <w:rPr>
                  <w:rStyle w:val="InternetLink"/>
                  <w:rFonts w:ascii="Times New Roman;sans-serif" w:hAnsi="Times New Roman;sans-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139">
              <w:r>
                <w:rPr>
                  <w:rStyle w:val="InternetLink"/>
                  <w:rFonts w:ascii="Times New Roman;sans-serif" w:hAnsi="Times New Roman;sans-serif"/>
                  <w:b w:val="false"/>
                  <w:color w:val="0000FF"/>
                  <w:sz w:val="20"/>
                  <w:u w:val="single"/>
                </w:rPr>
                <w:t>42</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42">
              <w:r>
                <w:rPr>
                  <w:rStyle w:val="InternetLink"/>
                  <w:rFonts w:ascii="Times New Roman;sans-serif" w:hAnsi="Times New Roman;sans-serif"/>
                  <w:b w:val="false"/>
                  <w:color w:val="0000FF"/>
                  <w:sz w:val="20"/>
                  <w:u w:val="single"/>
                </w:rPr>
                <w:t>PART II.</w:t>
              </w:r>
            </w:hyperlink>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42">
              <w:r>
                <w:rPr>
                  <w:rStyle w:val="InternetLink"/>
                  <w:rFonts w:ascii="Times New Roman;sans-serif" w:hAnsi="Times New Roman;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45">
              <w:r>
                <w:rPr>
                  <w:rStyle w:val="InternetLink"/>
                  <w:rFonts w:ascii="Times New Roman;sans-serif" w:hAnsi="Times New Roman;sans-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145">
              <w:r>
                <w:rPr>
                  <w:rStyle w:val="InternetLink"/>
                  <w:rFonts w:ascii="Times New Roman;sans-serif" w:hAnsi="Times New Roman;sans-serif"/>
                  <w:b w:val="false"/>
                  <w:color w:val="0000FF"/>
                  <w:sz w:val="20"/>
                  <w:u w:val="single"/>
                </w:rPr>
                <w:t>43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48">
              <w:r>
                <w:rPr>
                  <w:rStyle w:val="InternetLink"/>
                  <w:rFonts w:ascii="Times New Roman;sans-serif" w:hAnsi="Times New Roman;sans-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148">
              <w:r>
                <w:rPr>
                  <w:rStyle w:val="InternetLink"/>
                  <w:rFonts w:ascii="Times New Roman;sans-serif" w:hAnsi="Times New Roman;sans-serif"/>
                  <w:b w:val="false"/>
                  <w:color w:val="0000FF"/>
                  <w:sz w:val="20"/>
                  <w:u w:val="single"/>
                </w:rPr>
                <w:t>43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51">
              <w:r>
                <w:rPr>
                  <w:rStyle w:val="InternetLink"/>
                  <w:rFonts w:ascii="Times New Roman;sans-serif" w:hAnsi="Times New Roman;sans-serif"/>
                  <w:b w:val="false"/>
                  <w:color w:val="0000FF"/>
                  <w:sz w:val="20"/>
                  <w:u w:val="singl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151">
              <w:r>
                <w:rPr>
                  <w:rStyle w:val="InternetLink"/>
                  <w:rFonts w:ascii="Times New Roman;sans-serif" w:hAnsi="Times New Roman;sans-serif"/>
                  <w:b w:val="false"/>
                  <w:color w:val="0000FF"/>
                  <w:sz w:val="20"/>
                  <w:u w:val="single"/>
                </w:rPr>
                <w:t>43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54">
              <w:r>
                <w:rPr>
                  <w:rStyle w:val="InternetLink"/>
                  <w:rFonts w:ascii="Times New Roman;sans-serif" w:hAnsi="Times New Roman;sans-serif"/>
                  <w:b w:val="false"/>
                  <w:color w:val="0000FF"/>
                  <w:sz w:val="20"/>
                  <w:u w:val="singl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154">
              <w:r>
                <w:rPr>
                  <w:rStyle w:val="InternetLink"/>
                  <w:rFonts w:ascii="Times New Roman;sans-serif" w:hAnsi="Times New Roman;sans-serif"/>
                  <w:b w:val="false"/>
                  <w:color w:val="0000FF"/>
                  <w:sz w:val="20"/>
                  <w:u w:val="single"/>
                </w:rPr>
                <w:t>43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57">
              <w:r>
                <w:rPr>
                  <w:rStyle w:val="InternetLink"/>
                  <w:rFonts w:ascii="Times New Roman;sans-serif" w:hAnsi="Times New Roman;sans-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157">
              <w:r>
                <w:rPr>
                  <w:rStyle w:val="InternetLink"/>
                  <w:rFonts w:ascii="Times New Roman;sans-serif" w:hAnsi="Times New Roman;sans-serif"/>
                  <w:b w:val="false"/>
                  <w:color w:val="0000FF"/>
                  <w:sz w:val="20"/>
                  <w:u w:val="single"/>
                </w:rPr>
                <w:t>44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60">
              <w:r>
                <w:rPr>
                  <w:rStyle w:val="InternetLink"/>
                  <w:rFonts w:ascii="Times New Roman;sans-serif" w:hAnsi="Times New Roman;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160">
              <w:r>
                <w:rPr>
                  <w:rStyle w:val="InternetLink"/>
                  <w:rFonts w:ascii="Times New Roman;sans-serif" w:hAnsi="Times New Roman;sans-serif"/>
                  <w:b w:val="false"/>
                  <w:color w:val="0000FF"/>
                  <w:sz w:val="20"/>
                  <w:u w:val="single"/>
                </w:rPr>
                <w:t>44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iba641ebb5b704de49d595b5ead1573d0_163">
              <w:r>
                <w:rPr>
                  <w:rStyle w:val="InternetLink"/>
                  <w:rFonts w:ascii="Times New Roman;sans-serif" w:hAnsi="Times New Roman;sans-serif"/>
                  <w:b w:val="false"/>
                  <w:color w:val="0000FF"/>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0"/>
              <w:jc w:val="center"/>
              <w:rPr/>
            </w:pPr>
            <w:hyperlink w:anchor="iba641ebb5b704de49d595b5ead1573d0_163">
              <w:r>
                <w:rPr>
                  <w:rStyle w:val="InternetLink"/>
                  <w:rFonts w:ascii="Times New Roman;sans-serif" w:hAnsi="Times New Roman;sans-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3"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6"/>
        <w:gridCol w:w="415"/>
        <w:gridCol w:w="419"/>
        <w:gridCol w:w="139"/>
        <w:gridCol w:w="139"/>
        <w:gridCol w:w="139"/>
        <w:gridCol w:w="3030"/>
        <w:gridCol w:w="2257"/>
        <w:gridCol w:w="2861"/>
      </w:tblGrid>
      <w:tr>
        <w:trPr/>
        <w:tc>
          <w:tcPr>
            <w:tcW w:w="80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Glossary of Terms</w:t>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terms or acronyms used in this Quarterly Report on Form 10-Q are defined below:</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Term or Acronym</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Definition</w:t>
            </w:r>
          </w:p>
        </w:tc>
      </w:tr>
      <w:tr>
        <w:trPr/>
        <w:tc>
          <w:tcPr>
            <w:tcW w:w="1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10-K</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Annual Report on Form 10-K filed with the SEC on March 1, 2023</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Unsecured Notes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8.625% senior unsecured notes due 2025 issued by LNWI</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Unsecured Notes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7.000% senior unsecured notes due 2028 issued by LNWI</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Unsecured Notes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7.250% senior unsecured notes due 2029 issued by LNWI</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AEBITDA</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our performance measure of profit or loss for our business segments</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ASX</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Securities Exchange</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CDIs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CHESS Depositary Interests, instruments traded on the ASX</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casino-management system</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Coronavirus disease first identified in 2019 (declared a pandemic by the World Health Organization on March 11, 2020), the resulting pandemic and the associated impacts on the macroeconomic environment in general and our business environment specifically</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impairments (excluding goodwill)</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Divested Businesses or Divestitures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Lottery Business and Sports Betting Business combined or the sales of these, as appropriate within the context</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KPIs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Performance Indicators</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L&amp;W</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 &amp; Wonder, Inc.</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LBO</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betting office</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 and Wonder International, Inc., a wholly-owned subsidiary of L&amp;W and successor to Scientific Games International, Inc.</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Credit Agreement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That certain credit agreement, dated as of April 14, 2022, among LNWI, as the borrower, L&amp;W, as a guarantor, the lenders from time to time party thereto, JPMorgan Chase Bank, N.A., as Administrative Agent, Collateral Agent and Swingline Lender, BofA Securities, Inc., BNP Paribas Securities Corp., Deutsche Bank Securities Inc., Fifth Third Bank, National Association, Barclays Bank PLC, Citizens Bank, N.A., Goldman Sachs Bank USA, Morgan Stanley Senior Funding, Inc., Royal Bank of Canada, Truist Securities, Inc., Credit Suisse Loan Funding LLC and Macquarie Capital (USA) Inc. as Lead Arrangers and Joint Bookrunners, as amended, restated, amended and restated, supplemented or otherwise modified from time to time</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Revolver</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with aggregate commitments of $750 million extended pursuant to the LNWI Credit Agreement</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Term Loan B</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 issued pursuant to the LNWI Credit Agreement</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Lottery Business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prior operating business segment that provided instant and draw</w:t>
              <w:noBreakHyphen/>
              <w:t>based lottery products, lottery systems and lottery content and services to lottery operators wagering solutions to various gaming entities. This business segment was divested during the second quarter of 2022 and is included in discontinued operations in our financial statements</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note in the Notes to Condensed Consolidated Financial Statements in this Quarterly Report on Form 10-Q, unless otherwise indicated</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gaming machines provided to customers through service or leasing arrangements in which we earn revenues and are paid based on: (1) a percentage of the amount wagered less payouts; (2) fixed daily-fees; (3) a percentage of the amount wagered; or (4) a combination of (2) and (3)</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 Corporation</w:t>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 Revolver</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 million revolving credit facility agreement entered into by SciPlay Holding Company, LLC, a subsidiary of SciPlay Corporation, that matures in May 2024</w:t>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14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4"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54"/>
        <w:gridCol w:w="418"/>
        <w:gridCol w:w="421"/>
        <w:gridCol w:w="109"/>
        <w:gridCol w:w="109"/>
        <w:gridCol w:w="109"/>
        <w:gridCol w:w="2662"/>
        <w:gridCol w:w="2368"/>
        <w:gridCol w:w="3355"/>
      </w:tblGrid>
      <w:tr>
        <w:trPr/>
        <w:tc>
          <w:tcPr>
            <w:tcW w:w="65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the 2025 Unsecured Notes, 2028 Unsecured Notes and 2029 Unsecured Notes, collectively</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Shufflers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models of automatic card shufflers, deck checkers and roulette chip sorters</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Betting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prior line of business that provided sports betting services which enable customers to operate sports books, including betting markets across both fixed-odds and pari-mutual betting styles, a distribution platform, full gaming process support services and brand and player management. This business was divested during the third quarter of 2022 and is included in discontinued operations in our financial statements</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50 states in the U.S. plus the District of Columbia, U.S. Virgin Islands and Puerto Rico</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VGT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gaming terminal</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lottery terminal</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left"/>
        <w:rPr>
          <w:rFonts w:ascii="Times New Roman;sans-serif" w:hAnsi="Times New Roman;sans-serif"/>
          <w:b/>
          <w:color w:val="000000"/>
          <w:sz w:val="18"/>
        </w:rPr>
      </w:pPr>
      <w:r>
        <w:rPr>
          <w:rFonts w:ascii="Times New Roman;sans-serif" w:hAnsi="Times New Roman;sans-serif"/>
          <w:b/>
          <w:color w:val="000000"/>
          <w:sz w:val="18"/>
        </w:rPr>
        <w:t>Intellectual Property Rights</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All ® notices signify marks registered in the United States. © 2023 Light &amp; Wonder, Inc. and/or their respective affiliates. All Rights Reserved.</w:t>
      </w:r>
    </w:p>
    <w:p>
      <w:pPr>
        <w:pStyle w:val="TextBody"/>
        <w:bidi w:val="0"/>
        <w:spacing w:lineRule="auto" w:line="26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2023 Hasbro. All Rights Reserved. Licensed by Hasbro.</w:t>
      </w:r>
    </w:p>
    <w:p>
      <w:pPr>
        <w:pStyle w:val="TextBody"/>
        <w:bidi w:val="0"/>
        <w:spacing w:lineRule="auto" w:line="268" w:before="0" w:after="120"/>
        <w:jc w:val="left"/>
        <w:rPr/>
      </w:pPr>
      <w:r>
        <w:rPr/>
        <w:drawing>
          <wp:inline distT="0" distB="0" distL="0" distR="0">
            <wp:extent cx="333375" cy="1238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33375" cy="123825"/>
                    </a:xfrm>
                    <a:prstGeom prst="rect">
                      <a:avLst/>
                    </a:prstGeom>
                  </pic:spPr>
                </pic:pic>
              </a:graphicData>
            </a:graphic>
          </wp:inline>
        </w:drawing>
      </w:r>
      <w:r>
        <w:rPr>
          <w:color w:val="000000"/>
        </w:rPr>
        <w:t xml:space="preserve"> </w:t>
      </w:r>
      <w:r>
        <w:rPr>
          <w:rFonts w:ascii="Times New Roman;sans-serif" w:hAnsi="Times New Roman;sans-serif"/>
          <w:b w:val="false"/>
          <w:color w:val="000000"/>
          <w:sz w:val="18"/>
        </w:rPr>
        <w:t xml:space="preserve">and James Bond indicia © 1962-2023 Danjaq, LLC and MGM. </w:t>
      </w:r>
      <w:r>
        <w:rPr/>
        <w:drawing>
          <wp:inline distT="0" distB="0" distL="0" distR="0">
            <wp:extent cx="333375" cy="1238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333375" cy="123825"/>
                    </a:xfrm>
                    <a:prstGeom prst="rect">
                      <a:avLst/>
                    </a:prstGeom>
                  </pic:spPr>
                </pic:pic>
              </a:graphicData>
            </a:graphic>
          </wp:inline>
        </w:drawing>
      </w:r>
      <w:r>
        <w:rPr>
          <w:color w:val="000000"/>
        </w:rPr>
        <w:t xml:space="preserve"> </w:t>
      </w:r>
      <w:r>
        <w:rPr>
          <w:rFonts w:ascii="Times New Roman;sans-serif" w:hAnsi="Times New Roman;sans-serif"/>
          <w:b w:val="false"/>
          <w:color w:val="000000"/>
          <w:sz w:val="18"/>
        </w:rPr>
        <w:t>and all other James Bond related trademarks are trademarks of Danjaq, LLC.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7"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inability to successfully execute our strategy and rebranding initiative;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slow growth of new gaming jurisdictions, slow addition of casinos in existing jurisdictions and declines in the replacement cycle of gaming machines;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risks relating to foreign operations, including anti-corruption laws, fluctuations in currency rates, restrictions on the payment of dividends from earnings, restrictions on the import of products and financial instability;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difficulty predicting what impact, if any, new tariffs imposed by and other trade actions taken by the U.S. and foreign jurisdictions could have on our business;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U.S. and international economic and industry conditions, including increases in benchmark interest rates and the effects of inflation;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public perception of our response to environmental, social and governance issues;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or the elimination of, our share repurchase program;</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resulting pricing variations and other impacts of our common stock being listed to trade on more than one stock exchange;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level of our indebtedness, higher interest rates, availability or adequacy of cash flows and liquidity to satisfy indebtedness, other obligations or future cash needs;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further reduce or refinance our indebtedness;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restrictions and covenants in debt agreements, including those that could result in acceleration of the maturity of our indebtedness;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competition;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win, retain or renew, or unfavorable revisions of, existing contracts, and the inability to enter into new contracts;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risks and uncertainties of potential changes in U.K. gaming legislation, including any new or revised licensing and taxation regimes, responsible gambling requirements and/or sanctions on unlicensed providers;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adapt to, and offer products that keep pace with, evolving technology, including any failure of our investment of significant resources in our R&amp;D efforts;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possibility that the conditions to the completion of the SciPlay Acquisition (as defined below) may not be satisfied on the anticipated schedule or at all;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possibility that the SciPlay Acquisition may not be consummated or that L&amp;W and SciPlay may be unable to achieve expected operational, strategic and financial benefits of the SciPlay Acquisition;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possibility of any event, change or other circumstances that could give rise to the termination of the Merger Agreement (as defined below);</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outcome of any legal proceedings that may be instituted following announcement of the SciPlay Acquisition;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failure to retain key management and employees of SciPlay;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unpredictability and severity of catastrophic events, including but not limited to acts of terrorism, war or hostilities or the COVID-19 pandemic, as well as management’s response to any of the aforementioned factors;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demand for our products and services;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achieve some or all of the anticipated benefits of SciPlay being a standalone public company;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dependence on suppliers and manufacturers;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SciPlay’s dependence on certain key providers;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ownership changes and consolidation in the gaming industry;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fluctuations in our results due to seasonality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8"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security and integrity of our products and systems, including the impact of any security breaches or cyber-attacks;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protection of our intellectual property, inability to license third-party intellectual property and the intellectual property rights of others;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reliance on or failures in information technology and other systems;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reliance on technological blocking systems;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challenges or disruptions relating to the completion of the domestic migration to our enterprise resource planning system;</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legislative interpretation and enforcement, regulatory perception and regulatory risks with respect to gaming, especially internet wagering, social gaming and sports wagering;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tax laws or tax rulings, or the examination of our tax positions;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opposition to legalized gaming or the expansion thereof and potential restrictions on internet wagering;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expectations of shift to regulated digital gaming or sports wagering;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inability to develop successful products and services and capitalize on trends and changes in our industries, including the expansion of internet and other forms of digital gaming;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continuing evolution of the scope of data privacy and security regulations, and our belief that the adoption of increasingly restrictive regulations in this area is likely within the U.S. and other jurisdictions;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incurrence of restructuring costs;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goodwill impairment charges including changes in estimates or judgments related to our impairment analysis of goodwill or other intangible assets;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stock price volatility;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failure to maintain adequate internal control over financial reporting;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dependence on key executives;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natural events that disrupt our operations, or those of our customers, suppliers or regulators; and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expectations of growth in total consumer spending on social casino gaming.</w:t>
      </w:r>
    </w:p>
    <w:p>
      <w:pPr>
        <w:pStyle w:val="TextBody"/>
        <w:bidi w:val="0"/>
        <w:spacing w:lineRule="auto" w:line="288" w:before="160" w:after="160"/>
        <w:ind w:left="0" w:right="0" w:firstLine="720"/>
        <w:jc w:val="left"/>
        <w:rPr/>
      </w:pPr>
      <w:r>
        <w:rPr>
          <w:rFonts w:ascii="Times New Roman;sans-serif" w:hAnsi="Times New Roman;sans-serif"/>
          <w:b w:val="false"/>
          <w:color w:val="000000"/>
          <w:sz w:val="20"/>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“Risk Factors” in </w:t>
      </w:r>
      <w:r>
        <w:rPr>
          <w:rFonts w:ascii="Times New Roman;sans-serif" w:hAnsi="Times New Roman;sans-serif"/>
          <w:b w:val="false"/>
          <w:i/>
          <w:color w:val="000000"/>
          <w:sz w:val="20"/>
        </w:rPr>
        <w:t>Part II, Item 1A</w:t>
      </w:r>
      <w:r>
        <w:rPr>
          <w:color w:val="000000"/>
        </w:rPr>
        <w:t xml:space="preserve"> </w:t>
      </w:r>
      <w:r>
        <w:rPr>
          <w:rFonts w:ascii="Times New Roman;sans-serif" w:hAnsi="Times New Roman;sans-serif"/>
          <w:b w:val="false"/>
          <w:color w:val="000000"/>
          <w:sz w:val="20"/>
        </w:rPr>
        <w:t xml:space="preserve">of this Quarterly Report on Form 10-Q and </w:t>
      </w:r>
      <w:r>
        <w:rPr>
          <w:rFonts w:ascii="Times New Roman;sans-serif" w:hAnsi="Times New Roman;sans-serif"/>
          <w:b w:val="false"/>
          <w:i/>
          <w:color w:val="000000"/>
          <w:sz w:val="20"/>
        </w:rPr>
        <w:t>Part I, Item 1A</w:t>
      </w:r>
      <w:r>
        <w:rPr>
          <w:color w:val="000000"/>
        </w:rPr>
        <w:t xml:space="preserve"> </w:t>
      </w:r>
      <w:r>
        <w:rPr>
          <w:rFonts w:ascii="Times New Roman;sans-serif" w:hAnsi="Times New Roman;sans-serif"/>
          <w:b w:val="false"/>
          <w:color w:val="000000"/>
          <w:sz w:val="20"/>
        </w:rPr>
        <w:t>in our 2022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rounding, certain numbers presented herein may not precisely recalculate.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9"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1899"/>
        <w:gridCol w:w="1646"/>
        <w:gridCol w:w="1649"/>
        <w:gridCol w:w="235"/>
        <w:gridCol w:w="650"/>
        <w:gridCol w:w="121"/>
        <w:gridCol w:w="121"/>
        <w:gridCol w:w="121"/>
        <w:gridCol w:w="121"/>
        <w:gridCol w:w="235"/>
        <w:gridCol w:w="688"/>
        <w:gridCol w:w="121"/>
        <w:gridCol w:w="109"/>
        <w:gridCol w:w="109"/>
        <w:gridCol w:w="109"/>
        <w:gridCol w:w="224"/>
        <w:gridCol w:w="541"/>
        <w:gridCol w:w="115"/>
        <w:gridCol w:w="115"/>
        <w:gridCol w:w="115"/>
        <w:gridCol w:w="115"/>
        <w:gridCol w:w="224"/>
        <w:gridCol w:w="653"/>
        <w:gridCol w:w="169"/>
      </w:tblGrid>
      <w:tr>
        <w:trPr/>
        <w:tc>
          <w:tcPr>
            <w:tcW w:w="189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services</w:t>
            </w:r>
            <w:r>
              <w:rPr>
                <w:rFonts w:ascii="Times New Roman;sans-serif" w:hAnsi="Times New Roman;sans-serif"/>
                <w:b w:val="false"/>
                <w:color w:val="000000"/>
                <w:sz w:val="13"/>
              </w:rPr>
              <w:t>(1)</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product sales</w:t>
            </w:r>
            <w:r>
              <w:rPr>
                <w:rFonts w:ascii="Times New Roman;sans-serif" w:hAnsi="Times New Roman;sans-serif"/>
                <w:b w:val="false"/>
                <w:color w:val="000000"/>
                <w:sz w:val="13"/>
              </w:rPr>
              <w:t>(1)</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remeasurement of debt and other</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 before income taxes</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income from discontinued operations, net of tax</w:t>
            </w:r>
            <w:r>
              <w:rPr>
                <w:rFonts w:ascii="Times New Roman;sans-serif" w:hAnsi="Times New Roman;sans-serif"/>
                <w:b w:val="false"/>
                <w:color w:val="000000"/>
                <w:sz w:val="13"/>
              </w:rPr>
              <w:t>(2)</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L&amp;W</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 Basic:</w:t>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discontinued operations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L&amp;W</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 Diluted:</w:t>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income from continuing operations </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discontinued operations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L&amp;W</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in per share calculations:</w:t>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0"/>
              <w:jc w:val="right"/>
              <w:rPr>
                <w:color w:val="000000"/>
              </w:rPr>
            </w:pPr>
            <w:r>
              <w:rPr>
                <w:color w:val="000000"/>
              </w:rPr>
              <w:t> </w:t>
            </w:r>
          </w:p>
        </w:tc>
      </w:tr>
      <w:tr>
        <w:trPr/>
        <w:tc>
          <w:tcPr>
            <w:tcW w:w="5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Excludes depreciation, amortization, and impairments.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(2) The three and six months ended June 30, 2022 include a pre-tax gain of $4,568 million on the sale of discontinued operations </w:t>
            </w:r>
            <w:r>
              <w:rPr>
                <w:rFonts w:ascii="Times New Roman;sans-serif" w:hAnsi="Times New Roman;sans-serif"/>
                <w:b w:val="false"/>
                <w:color w:val="000000"/>
                <w:sz w:val="16"/>
                <w:shd w:fill="FFFFFF" w:val="clear"/>
              </w:rPr>
              <w:t>(see Note 2).</w:t>
            </w:r>
          </w:p>
        </w:tc>
      </w:tr>
      <w:tr>
        <w:trPr/>
        <w:tc>
          <w:tcPr>
            <w:tcW w:w="5194" w:type="dxa"/>
            <w:gridSpan w:val="3"/>
            <w:tcBorders/>
            <w:vAlign w:val="center"/>
          </w:tcPr>
          <w:p>
            <w:pPr>
              <w:pStyle w:val="TableContents"/>
              <w:bidi w:val="0"/>
              <w:spacing w:before="0" w:after="283"/>
              <w:jc w:val="left"/>
              <w:rPr>
                <w:sz w:val="4"/>
                <w:szCs w:val="4"/>
              </w:rPr>
            </w:pPr>
            <w:r>
              <w:rPr>
                <w:sz w:val="4"/>
                <w:szCs w:val="4"/>
              </w:rPr>
            </w:r>
          </w:p>
        </w:tc>
        <w:tc>
          <w:tcPr>
            <w:tcW w:w="5011" w:type="dxa"/>
            <w:gridSpan w:val="21"/>
            <w:tcBorders/>
          </w:tcPr>
          <w:p>
            <w:pPr>
              <w:pStyle w:val="TableContents"/>
              <w:bidi w:val="0"/>
              <w:spacing w:before="0" w:after="283"/>
              <w:jc w:val="left"/>
              <w:rPr>
                <w:sz w:val="4"/>
                <w:szCs w:val="4"/>
              </w:rPr>
            </w:pPr>
            <w:r>
              <w:rPr>
                <w:sz w:val="4"/>
                <w:szCs w:val="4"/>
              </w:rPr>
            </w:r>
          </w:p>
        </w:tc>
      </w:tr>
      <w:tr>
        <w:trPr/>
        <w:tc>
          <w:tcPr>
            <w:tcW w:w="5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417"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0"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1893"/>
        <w:gridCol w:w="1657"/>
        <w:gridCol w:w="1672"/>
        <w:gridCol w:w="260"/>
        <w:gridCol w:w="446"/>
        <w:gridCol w:w="134"/>
        <w:gridCol w:w="134"/>
        <w:gridCol w:w="134"/>
        <w:gridCol w:w="134"/>
        <w:gridCol w:w="260"/>
        <w:gridCol w:w="761"/>
        <w:gridCol w:w="134"/>
        <w:gridCol w:w="109"/>
        <w:gridCol w:w="109"/>
        <w:gridCol w:w="109"/>
        <w:gridCol w:w="238"/>
        <w:gridCol w:w="408"/>
        <w:gridCol w:w="123"/>
        <w:gridCol w:w="123"/>
        <w:gridCol w:w="123"/>
        <w:gridCol w:w="123"/>
        <w:gridCol w:w="238"/>
        <w:gridCol w:w="698"/>
        <w:gridCol w:w="185"/>
      </w:tblGrid>
      <w:tr>
        <w:trPr/>
        <w:tc>
          <w:tcPr>
            <w:tcW w:w="189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 net of tax</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5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unrealized gain, net of tax</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from continuing operations</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from discontinued operations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L&amp;W</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2" w:type="dxa"/>
            <w:gridSpan w:val="3"/>
            <w:tcBorders/>
            <w:vAlign w:val="center"/>
          </w:tcPr>
          <w:p>
            <w:pPr>
              <w:pStyle w:val="TableContents"/>
              <w:bidi w:val="0"/>
              <w:spacing w:before="0" w:after="283"/>
              <w:jc w:val="left"/>
              <w:rPr>
                <w:sz w:val="4"/>
                <w:szCs w:val="4"/>
              </w:rPr>
            </w:pPr>
            <w:r>
              <w:rPr>
                <w:sz w:val="4"/>
                <w:szCs w:val="4"/>
              </w:rPr>
            </w:r>
          </w:p>
        </w:tc>
        <w:tc>
          <w:tcPr>
            <w:tcW w:w="4983" w:type="dxa"/>
            <w:gridSpan w:val="21"/>
            <w:tcBorders/>
          </w:tcPr>
          <w:p>
            <w:pPr>
              <w:pStyle w:val="TableContents"/>
              <w:bidi w:val="0"/>
              <w:spacing w:before="0" w:after="283"/>
              <w:jc w:val="left"/>
              <w:rPr>
                <w:sz w:val="4"/>
                <w:szCs w:val="4"/>
              </w:rPr>
            </w:pPr>
            <w:r>
              <w:rPr>
                <w:sz w:val="4"/>
                <w:szCs w:val="4"/>
              </w:rPr>
            </w:r>
          </w:p>
        </w:tc>
      </w:tr>
      <w:tr>
        <w:trPr/>
        <w:tc>
          <w:tcPr>
            <w:tcW w:w="5222"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1"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par value)</w:t>
      </w:r>
    </w:p>
    <w:tbl>
      <w:tblPr>
        <w:tblW w:w="10205" w:type="dxa"/>
        <w:jc w:val="center"/>
        <w:tblInd w:w="0" w:type="dxa"/>
        <w:tblLayout w:type="fixed"/>
        <w:tblCellMar>
          <w:top w:w="28" w:type="dxa"/>
          <w:left w:w="28" w:type="dxa"/>
          <w:bottom w:w="28" w:type="dxa"/>
          <w:right w:w="28" w:type="dxa"/>
        </w:tblCellMar>
      </w:tblPr>
      <w:tblGrid>
        <w:gridCol w:w="2905"/>
        <w:gridCol w:w="2279"/>
        <w:gridCol w:w="2263"/>
        <w:gridCol w:w="241"/>
        <w:gridCol w:w="705"/>
        <w:gridCol w:w="124"/>
        <w:gridCol w:w="109"/>
        <w:gridCol w:w="109"/>
        <w:gridCol w:w="109"/>
        <w:gridCol w:w="292"/>
        <w:gridCol w:w="852"/>
        <w:gridCol w:w="217"/>
      </w:tblGrid>
      <w:tr>
        <w:trPr/>
        <w:tc>
          <w:tcPr>
            <w:tcW w:w="290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7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credit losses of $40 and $38, respectively</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deposits and other current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of allowance for credit losses of $2</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portion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0"/>
              <w:jc w:val="right"/>
              <w:rPr/>
            </w:pPr>
            <w:r>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 199 shares authorized; 116 and 115 shares issued, respectively, and 91 shares outstanding</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25 and 24 shares, respectively</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L&amp;W stockholders’ equity </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2"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2980"/>
        <w:gridCol w:w="2503"/>
        <w:gridCol w:w="2510"/>
        <w:gridCol w:w="222"/>
        <w:gridCol w:w="492"/>
        <w:gridCol w:w="114"/>
        <w:gridCol w:w="114"/>
        <w:gridCol w:w="114"/>
        <w:gridCol w:w="114"/>
        <w:gridCol w:w="222"/>
        <w:gridCol w:w="651"/>
        <w:gridCol w:w="169"/>
      </w:tblGrid>
      <w:tr>
        <w:trPr/>
        <w:tc>
          <w:tcPr>
            <w:tcW w:w="298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discontinued operations, net of tax</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from continuing operations to net cash provided by operating activities from continuing operations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accounts, excluding the effects of acquisitions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deferred income taxes and other</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from continuing operations</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from discontinued operations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investing activities: </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net of cash acquired</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settlement of cross-currency interest rate swaps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from continuing operations</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(used in) provided by investing activities from discontinued operations</w:t>
            </w:r>
            <w:r>
              <w:rPr>
                <w:rFonts w:ascii="Times New Roman;sans-serif" w:hAnsi="Times New Roman;sans-serif"/>
                <w:b w:val="false"/>
                <w:color w:val="000000"/>
                <w:sz w:val="13"/>
              </w:rPr>
              <w:t>(1)</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from financing activities: </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facilities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Repayments under revolving credit facilities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senior notes and term loans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and term loans (including redemption premium)</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on long-term debt </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and deferred financing costs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license obligations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L&amp;W common stock</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SciPlay’s Class A common stock</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redemptions of common stock under stock-based compensation plans and other</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from continuing operations</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from discontinued operations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cash equivalents and restricted cash of discontinued operations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of continuing operations, end of period</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w:t>
            </w:r>
          </w:p>
        </w:tc>
        <w:tc>
          <w:tcPr>
            <w:tcW w:w="8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paid </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earnings from equity investments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contingent consideration included in operating activities</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non-cash transactions:</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six months ended June 30, 2022 include $5,659 million in gross cash proceeds from the sale of discontinued operations, net of cash, cash equivalents and restricted cash transferred.</w:t>
            </w:r>
          </w:p>
        </w:tc>
      </w:tr>
      <w:tr>
        <w:trPr/>
        <w:tc>
          <w:tcPr>
            <w:tcW w:w="7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3"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LIGHT &amp; WONDER,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USD, table amounts in millions, except per share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(1) Description of the Business and Summary of Significant Accounting Policies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Business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w:t>
      </w:r>
      <w:r>
        <w:rPr>
          <w:color w:val="000000"/>
          <w:shd w:fill="FFFFFF" w:val="clear"/>
        </w:rPr>
        <w:t xml:space="preserve"> </w:t>
      </w:r>
      <w:r>
        <w:rPr>
          <w:rFonts w:ascii="Times New Roman;sans-serif" w:hAnsi="Times New Roman;sans-serif"/>
          <w:b w:val="false"/>
          <w:color w:val="000000"/>
          <w:sz w:val="20"/>
          <w:shd w:fill="FFFFFF" w:val="clear"/>
        </w:rPr>
        <w:t>We report our results of operations in three business segments—Gaming, SciPlay and iGaming—representing our different products and services.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Stock Market under the ticker symbol “LNW.” Our common stock is also listed as CDIs on the ASX and commenced active trading on May 22, 2023 (AEST) under the ticker symbol “LNW.”</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2023, we entered into a definitive agreement to acquire the remaining equity interest in SciPlay not already owned by us (approximately 17%) pursuant to a merger in which SciPlay’s shareholders will receive $22.95 for each share of SciPlay Class A common stock they own (subject to certain exceptions set forth in the Merger Agreement, dated as of August 8, 2023, by and among L&amp;W, Bern Merger Sub, Inc. and SciPlay (the “Merger Agreement”)) in an all-cash transaction (valued at approximately $500 million subject to the total count of outstanding SciPlay Class A shares at closing) (the “SciPlay Acquisition”). Following the execution of the Merger Agreement, the wholly owned subsidiary of L&amp;W holding approximately 98% of the voting power of the outstanding shares of SciPlay common stock delivered to SciPlay a written consent approving the Merger Agreement and the SciPlay Acquisition. This transaction is expected to close during the fourth quarter of 2023, subject to customary closing conditions. As a result of the SciPlay Acquisition, SciPlay will cease to be publicly traded and will become a wholly owned subsidiary of L&amp;W.</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Merger Agreement contains certain termination rights for SciPlay and L&amp;W, including the right of either party to terminate the Merger Agreement if the SciPlay Acquisition is not consummated on or before February 8, 2024.</w:t>
      </w:r>
    </w:p>
    <w:p>
      <w:pPr>
        <w:pStyle w:val="TextBody"/>
        <w:bidi w:val="0"/>
        <w:spacing w:lineRule="auto" w:line="288" w:before="0" w:after="160"/>
        <w:ind w:left="0" w:right="0" w:firstLine="720"/>
        <w:jc w:val="left"/>
        <w:rPr/>
      </w:pPr>
      <w:r>
        <w:rPr>
          <w:rFonts w:ascii="Times New Roman;sans-serif" w:hAnsi="Times New Roman;sans-serif"/>
          <w:b w:val="false"/>
          <w:color w:val="000000"/>
          <w:sz w:val="20"/>
          <w:shd w:fill="FFFFFF" w:val="clear"/>
        </w:rPr>
        <w:t>We completed the sales of our former Lottery Business and Sports Betting Business during the second and third quarters of 2022, respectively. We have reflected the prior period financial results of these Divested Businesses as discontinued operations in our consolidated statements of operations. Refer to Note 2 for further information.</w:t>
      </w:r>
      <w:r>
        <w:rPr>
          <w:color w:val="000000"/>
        </w:rPr>
        <w:t xml:space="preserve"> </w:t>
      </w:r>
      <w:r>
        <w:rPr>
          <w:rFonts w:ascii="Times New Roman;sans-serif" w:hAnsi="Times New Roman;sans-serif"/>
          <w:b w:val="false"/>
          <w:color w:val="000000"/>
          <w:sz w:val="20"/>
          <w:shd w:fill="FFFFFF" w:val="clear"/>
        </w:rPr>
        <w:t>Unless otherwise noted, amounts and disclosures included herein relate to our continuing operations.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Principles of Consolidation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L&amp;W and its management, we have made all adjustments necessary to present fairly our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2022 10-K. Interim results of operations are not necessarily indicative of results of operations to be expected for a full year.</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Accounting Policies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significant accounting policies described within the Notes of our 2022 10-K.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includes gains and losses from foreign currency transactions, interest income, earnings (losses) from equity investments and other items. Other (expense) income, net for the three and six months ended June 30, 2023 primarily consisted of foreign currency transaction losses which totaled $25 million and $38 million, respectively. For the six months ended June 30, 2022, foreign currency transaction gains were $2 million, and they were not material for the three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14"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Computation of Basic and Diluted Net Income (Loss) Attributable to L&amp;W Per Share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attributable to L&amp;W per share are based upon net income (loss) attributable to L&amp;W divided by the weighted average number of common shares outstanding during the period. Diluted net income attributable to L&amp;W per share reflects the effect of the assumed exercise of stock options and RSUs only in the periods in which such effect would have been dilutive to net income from continuing operations.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we included 2 million of common stock equivalents in the calculation of diluted net income attributable to L&amp;W per share. Basic and diluted net loss attributable to L&amp;W per share were the same for the three months ended June 30, 2023 and the three and six months ended June 30, 2022, as all common stock equivalents would have been anti-dilutive for those periods. We excluded 2 million of stock options and 2 million of RSUs outstanding from the calculation of diluted weighted-average common shares outstanding for the three months ended June 30, 2023 and the three and six months ended June 30, 2022.</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New Accounting Guidance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recent accounting pronouncements or changes in accounting pronouncements since those described within the Notes of our 2022 10-K that are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 Discontinued Operations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completed the Divestitures in 2022 and reflected the prior period financial results of the Divested Businesses as discontinued operations in our consolidated statements of operations. For the sale of our former Lottery Business completed during the second quarter of 2022, we received $5.7 billion in gross cash proceeds and recorded a pre-tax gain of $4.6 billion. The summarized results of our discontinued operations were as follows:</w:t>
      </w:r>
    </w:p>
    <w:tbl>
      <w:tblPr>
        <w:tblW w:w="10205" w:type="dxa"/>
        <w:jc w:val="center"/>
        <w:tblInd w:w="0" w:type="dxa"/>
        <w:tblLayout w:type="fixed"/>
        <w:tblCellMar>
          <w:top w:w="28" w:type="dxa"/>
          <w:left w:w="28" w:type="dxa"/>
          <w:bottom w:w="28" w:type="dxa"/>
          <w:right w:w="28" w:type="dxa"/>
        </w:tblCellMar>
      </w:tblPr>
      <w:tblGrid>
        <w:gridCol w:w="2462"/>
        <w:gridCol w:w="1999"/>
        <w:gridCol w:w="2010"/>
        <w:gridCol w:w="122"/>
        <w:gridCol w:w="122"/>
        <w:gridCol w:w="364"/>
        <w:gridCol w:w="1067"/>
        <w:gridCol w:w="188"/>
        <w:gridCol w:w="109"/>
        <w:gridCol w:w="109"/>
        <w:gridCol w:w="109"/>
        <w:gridCol w:w="109"/>
        <w:gridCol w:w="109"/>
        <w:gridCol w:w="284"/>
        <w:gridCol w:w="829"/>
        <w:gridCol w:w="213"/>
      </w:tblGrid>
      <w:tr>
        <w:trPr/>
        <w:tc>
          <w:tcPr>
            <w:tcW w:w="2462"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 2022</w:t>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operating expenses</w:t>
            </w:r>
            <w:r>
              <w:rPr>
                <w:rFonts w:ascii="Times New Roman;sans-serif" w:hAnsi="Times New Roman;sans-serif"/>
                <w:b w:val="false"/>
                <w:color w:val="000000"/>
                <w:sz w:val="13"/>
              </w:rPr>
              <w:t>(1)</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 before income taxes</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discontinued operations before income taxes</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income from discontinued operations before income taxes</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discontinued operations, net of tax included in the consolidated statement of operations</w:t>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6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1" w:type="dxa"/>
            <w:gridSpan w:val="3"/>
            <w:tcBorders/>
            <w:vAlign w:val="center"/>
          </w:tcPr>
          <w:p>
            <w:pPr>
              <w:pStyle w:val="TableContents"/>
              <w:bidi w:val="0"/>
              <w:spacing w:before="0" w:after="283"/>
              <w:jc w:val="left"/>
              <w:rPr>
                <w:sz w:val="4"/>
                <w:szCs w:val="4"/>
              </w:rPr>
            </w:pPr>
            <w:r>
              <w:rPr>
                <w:sz w:val="4"/>
                <w:szCs w:val="4"/>
              </w:rPr>
            </w:r>
          </w:p>
        </w:tc>
        <w:tc>
          <w:tcPr>
            <w:tcW w:w="3734" w:type="dxa"/>
            <w:gridSpan w:val="13"/>
            <w:tcBorders/>
          </w:tcPr>
          <w:p>
            <w:pPr>
              <w:pStyle w:val="TableContents"/>
              <w:bidi w:val="0"/>
              <w:spacing w:before="0" w:after="283"/>
              <w:jc w:val="left"/>
              <w:rPr>
                <w:sz w:val="4"/>
                <w:szCs w:val="4"/>
              </w:rPr>
            </w:pPr>
            <w:r>
              <w:rPr>
                <w:sz w:val="4"/>
                <w:szCs w:val="4"/>
              </w:rPr>
            </w:r>
          </w:p>
        </w:tc>
      </w:tr>
      <w:tr>
        <w:trPr/>
        <w:tc>
          <w:tcPr>
            <w:tcW w:w="8334" w:type="dxa"/>
            <w:gridSpan w:val="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three and six months ended June 30, 2022 include stock-based compensation of $4 million and $11 million, respectively, and $78 million related to direct transaction closing fees.</w:t>
            </w:r>
          </w:p>
        </w:tc>
        <w:tc>
          <w:tcPr>
            <w:tcW w:w="1871" w:type="dxa"/>
            <w:gridSpan w:val="8"/>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15"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revenues by type within each of our business segments:</w:t>
      </w:r>
    </w:p>
    <w:tbl>
      <w:tblPr>
        <w:tblW w:w="7922" w:type="dxa"/>
        <w:jc w:val="center"/>
        <w:tblInd w:w="0" w:type="dxa"/>
        <w:tblLayout w:type="fixed"/>
        <w:tblCellMar>
          <w:top w:w="28" w:type="dxa"/>
          <w:left w:w="28" w:type="dxa"/>
          <w:bottom w:w="28" w:type="dxa"/>
          <w:right w:w="28" w:type="dxa"/>
        </w:tblCellMar>
      </w:tblPr>
      <w:tblGrid>
        <w:gridCol w:w="1041"/>
        <w:gridCol w:w="915"/>
        <w:gridCol w:w="923"/>
        <w:gridCol w:w="271"/>
        <w:gridCol w:w="600"/>
        <w:gridCol w:w="140"/>
        <w:gridCol w:w="140"/>
        <w:gridCol w:w="140"/>
        <w:gridCol w:w="140"/>
        <w:gridCol w:w="271"/>
        <w:gridCol w:w="600"/>
        <w:gridCol w:w="140"/>
        <w:gridCol w:w="109"/>
        <w:gridCol w:w="109"/>
        <w:gridCol w:w="109"/>
        <w:gridCol w:w="247"/>
        <w:gridCol w:w="546"/>
        <w:gridCol w:w="127"/>
        <w:gridCol w:w="127"/>
        <w:gridCol w:w="127"/>
        <w:gridCol w:w="127"/>
        <w:gridCol w:w="247"/>
        <w:gridCol w:w="546"/>
        <w:gridCol w:w="180"/>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Gaming</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operations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 sales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systems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products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SciPlay</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in-app purchases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Web in-app purchases and other</w:t>
            </w:r>
            <w:r>
              <w:rPr>
                <w:rFonts w:ascii="Times New Roman;sans-serif" w:hAnsi="Times New Roman;sans-serif"/>
                <w:b w:val="false"/>
                <w:color w:val="000000"/>
                <w:sz w:val="13"/>
              </w:rPr>
              <w:t>(1)</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iGaming</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2"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Other primarily represents advertising revenue, which was not material in the periods presented.</w:t>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rental income revenue that is outside the scope of ASC 606 was $123 million and $240 million for the three and six months ended June 30, 2023, respectively, and $118 million and $231 million for the three and six months ended June 30, 2022, respectively.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 and Other Disclosures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contract liabilities for the reporting period:</w:t>
      </w:r>
    </w:p>
    <w:tbl>
      <w:tblPr>
        <w:tblW w:w="10205" w:type="dxa"/>
        <w:jc w:val="center"/>
        <w:tblInd w:w="0" w:type="dxa"/>
        <w:tblLayout w:type="fixed"/>
        <w:tblCellMar>
          <w:top w:w="28" w:type="dxa"/>
          <w:left w:w="28" w:type="dxa"/>
          <w:bottom w:w="28" w:type="dxa"/>
          <w:right w:w="28" w:type="dxa"/>
        </w:tblCellMar>
      </w:tblPr>
      <w:tblGrid>
        <w:gridCol w:w="2709"/>
        <w:gridCol w:w="2354"/>
        <w:gridCol w:w="2364"/>
        <w:gridCol w:w="186"/>
        <w:gridCol w:w="109"/>
        <w:gridCol w:w="109"/>
        <w:gridCol w:w="688"/>
        <w:gridCol w:w="1178"/>
        <w:gridCol w:w="508"/>
      </w:tblGrid>
      <w:tr>
        <w:trPr/>
        <w:tc>
          <w:tcPr>
            <w:tcW w:w="2709"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7427"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r>
      <w:tr>
        <w:trPr/>
        <w:tc>
          <w:tcPr>
            <w:tcW w:w="7427"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liability balance, beginning of period</w:t>
            </w:r>
            <w:r>
              <w:rPr>
                <w:rFonts w:ascii="Times New Roman;sans-serif" w:hAnsi="Times New Roman;sans-serif"/>
                <w:b w:val="false"/>
                <w:color w:val="000000"/>
                <w:sz w:val="13"/>
              </w:rPr>
              <w:t>(1)</w:t>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recognized during the period</w:t>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revenue from beginning balance</w:t>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liability balance, end of period</w:t>
            </w:r>
            <w:r>
              <w:rPr>
                <w:rFonts w:ascii="Times New Roman;sans-serif" w:hAnsi="Times New Roman;sans-serif"/>
                <w:b w:val="false"/>
                <w:color w:val="000000"/>
                <w:sz w:val="13"/>
              </w:rPr>
              <w:t>(1)</w:t>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3" w:type="dxa"/>
            <w:gridSpan w:val="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Contract liabilities are included within Accrued liabilities and Other long-term liabilities in our consolidated balance sheets.</w:t>
            </w:r>
          </w:p>
        </w:tc>
        <w:tc>
          <w:tcPr>
            <w:tcW w:w="2592" w:type="dxa"/>
            <w:gridSpan w:val="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tbl>
      <w:tblPr>
        <w:tblW w:w="9474" w:type="dxa"/>
        <w:jc w:val="center"/>
        <w:tblInd w:w="0" w:type="dxa"/>
        <w:tblLayout w:type="fixed"/>
        <w:tblCellMar>
          <w:top w:w="28" w:type="dxa"/>
          <w:left w:w="28" w:type="dxa"/>
          <w:bottom w:w="28" w:type="dxa"/>
          <w:right w:w="28" w:type="dxa"/>
        </w:tblCellMar>
      </w:tblPr>
      <w:tblGrid>
        <w:gridCol w:w="1800"/>
        <w:gridCol w:w="1578"/>
        <w:gridCol w:w="1589"/>
        <w:gridCol w:w="421"/>
        <w:gridCol w:w="930"/>
        <w:gridCol w:w="218"/>
        <w:gridCol w:w="172"/>
        <w:gridCol w:w="172"/>
        <w:gridCol w:w="172"/>
        <w:gridCol w:w="703"/>
        <w:gridCol w:w="1204"/>
        <w:gridCol w:w="515"/>
      </w:tblGrid>
      <w:tr>
        <w:trPr/>
        <w:tc>
          <w:tcPr>
            <w:tcW w:w="180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Receivables</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Contract Assets</w:t>
            </w:r>
            <w:r>
              <w:rPr>
                <w:rFonts w:ascii="Times New Roman;sans-serif" w:hAnsi="Times New Roman;sans-serif"/>
                <w:b/>
                <w:color w:val="000000"/>
                <w:sz w:val="12"/>
              </w:rPr>
              <w:t>(1)</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 balance</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 balance, June 30, 2023</w:t>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422" w:type="dxa"/>
            <w:gridSpan w:val="3"/>
            <w:tcBorders/>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422" w:type="dxa"/>
            <w:gridSpan w:val="3"/>
            <w:tcBorders/>
            <w:vAlign w:val="center"/>
          </w:tcPr>
          <w:p>
            <w:pPr>
              <w:pStyle w:val="TableContents"/>
              <w:bidi w:val="0"/>
              <w:spacing w:before="0" w:after="283"/>
              <w:jc w:val="left"/>
              <w:rPr>
                <w:sz w:val="4"/>
                <w:szCs w:val="4"/>
              </w:rPr>
            </w:pPr>
            <w:r>
              <w:rPr>
                <w:sz w:val="4"/>
                <w:szCs w:val="4"/>
              </w:rPr>
            </w:r>
          </w:p>
        </w:tc>
      </w:tr>
      <w:tr>
        <w:trPr/>
        <w:tc>
          <w:tcPr>
            <w:tcW w:w="947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4" w:type="dxa"/>
            <w:gridSpan w:val="12"/>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16"/>
              </w:rPr>
            </w:pPr>
            <w:r>
              <w:rPr>
                <w:rFonts w:ascii="Times New Roman;sans-serif" w:hAnsi="Times New Roman;sans-serif"/>
                <w:b w:val="false"/>
                <w:color w:val="000000"/>
                <w:sz w:val="16"/>
              </w:rPr>
              <w:t>(1) Contract assets are included primarily within Prepaid expenses, deposits and other current assets in our consolidated balance sheets.</w:t>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did not have material unsatisfied performance obligations for contracts expected to be long-term or contracts for which we recognize revenue at an amount other than for which we have the right to invoice for goods or services delivered or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(4) Business Segments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operations in three business segments—Gaming, SciPlay and iGaming—representing our different products and services. A detailed discussion regarding the products and services from which each reportable business segment derives its revenue is included in Notes 3 and 4 in our 2022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16"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evaluating financial performance, our Chief Operating Decision Maker focuses on AEBITDA as management’s primary segment measure of profit or loss, which is described in footnote (2) to the below table. The accounting policies of our business segments are the same as those described within the Notes in our 2022 10-K. The following tables present our segment information:</w:t>
      </w:r>
    </w:p>
    <w:tbl>
      <w:tblPr>
        <w:tblW w:w="10205" w:type="dxa"/>
        <w:jc w:val="center"/>
        <w:tblInd w:w="0" w:type="dxa"/>
        <w:tblLayout w:type="fixed"/>
        <w:tblCellMar>
          <w:top w:w="28" w:type="dxa"/>
          <w:left w:w="28" w:type="dxa"/>
          <w:bottom w:w="28" w:type="dxa"/>
          <w:right w:w="28" w:type="dxa"/>
        </w:tblCellMar>
      </w:tblPr>
      <w:tblGrid>
        <w:gridCol w:w="1013"/>
        <w:gridCol w:w="865"/>
        <w:gridCol w:w="858"/>
        <w:gridCol w:w="263"/>
        <w:gridCol w:w="582"/>
        <w:gridCol w:w="136"/>
        <w:gridCol w:w="136"/>
        <w:gridCol w:w="136"/>
        <w:gridCol w:w="136"/>
        <w:gridCol w:w="263"/>
        <w:gridCol w:w="582"/>
        <w:gridCol w:w="136"/>
        <w:gridCol w:w="136"/>
        <w:gridCol w:w="136"/>
        <w:gridCol w:w="136"/>
        <w:gridCol w:w="296"/>
        <w:gridCol w:w="507"/>
        <w:gridCol w:w="153"/>
        <w:gridCol w:w="136"/>
        <w:gridCol w:w="136"/>
        <w:gridCol w:w="136"/>
        <w:gridCol w:w="542"/>
        <w:gridCol w:w="1044"/>
        <w:gridCol w:w="283"/>
        <w:gridCol w:w="136"/>
        <w:gridCol w:w="136"/>
        <w:gridCol w:w="136"/>
        <w:gridCol w:w="263"/>
        <w:gridCol w:w="582"/>
        <w:gridCol w:w="205"/>
      </w:tblGrid>
      <w:tr>
        <w:trPr/>
        <w:tc>
          <w:tcPr>
            <w:tcW w:w="101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(2)</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income from continuing operations before income taxes:</w:t>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before income taxes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business segments (including corporate costs) and items to reconcile the total business segments AEBITDA to our consolidated net income from continuing operations before income taxes.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AEBITDA is reconciled to net income (loss) from continuing operations before income taxes with the following adjustments: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and other unusual items; (3) interest expense; (4) loss on debt financing transactions; (5) change in fair value of investments and remeasurement of debt and other; (6) other (expense) income, net, including foreign currency gains or losses and earnings from equity investments; and (7) stock-based compensation. AEBITDA is presented as our primary segment measure of profit or loss.</w:t>
            </w:r>
          </w:p>
        </w:tc>
      </w:tr>
    </w:tbl>
    <w:tbl>
      <w:tblPr>
        <w:tblW w:w="10205" w:type="dxa"/>
        <w:jc w:val="center"/>
        <w:tblInd w:w="0" w:type="dxa"/>
        <w:tblLayout w:type="fixed"/>
        <w:tblCellMar>
          <w:top w:w="28" w:type="dxa"/>
          <w:left w:w="28" w:type="dxa"/>
          <w:bottom w:w="28" w:type="dxa"/>
          <w:right w:w="28" w:type="dxa"/>
        </w:tblCellMar>
      </w:tblPr>
      <w:tblGrid>
        <w:gridCol w:w="1139"/>
        <w:gridCol w:w="939"/>
        <w:gridCol w:w="934"/>
        <w:gridCol w:w="238"/>
        <w:gridCol w:w="526"/>
        <w:gridCol w:w="122"/>
        <w:gridCol w:w="122"/>
        <w:gridCol w:w="122"/>
        <w:gridCol w:w="122"/>
        <w:gridCol w:w="122"/>
        <w:gridCol w:w="122"/>
        <w:gridCol w:w="238"/>
        <w:gridCol w:w="526"/>
        <w:gridCol w:w="122"/>
        <w:gridCol w:w="122"/>
        <w:gridCol w:w="122"/>
        <w:gridCol w:w="122"/>
        <w:gridCol w:w="267"/>
        <w:gridCol w:w="458"/>
        <w:gridCol w:w="138"/>
        <w:gridCol w:w="122"/>
        <w:gridCol w:w="122"/>
        <w:gridCol w:w="122"/>
        <w:gridCol w:w="581"/>
        <w:gridCol w:w="1120"/>
        <w:gridCol w:w="304"/>
        <w:gridCol w:w="109"/>
        <w:gridCol w:w="109"/>
        <w:gridCol w:w="109"/>
        <w:gridCol w:w="211"/>
        <w:gridCol w:w="500"/>
        <w:gridCol w:w="173"/>
      </w:tblGrid>
      <w:tr>
        <w:trPr/>
        <w:tc>
          <w:tcPr>
            <w:tcW w:w="11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1211" w:type="dxa"/>
            <w:gridSpan w:val="6"/>
            <w:tcBorders/>
          </w:tcPr>
          <w:p>
            <w:pPr>
              <w:pStyle w:val="TableContents"/>
              <w:bidi w:val="0"/>
              <w:spacing w:before="0" w:after="283"/>
              <w:jc w:val="left"/>
              <w:rPr>
                <w:sz w:val="4"/>
                <w:szCs w:val="4"/>
              </w:rPr>
            </w:pPr>
            <w:r>
              <w:rPr>
                <w:sz w:val="4"/>
                <w:szCs w:val="4"/>
              </w:rPr>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(2)</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4" w:type="dxa"/>
            <w:gridSpan w:val="26"/>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loss from continuing operations before income taxes:</w:t>
            </w:r>
          </w:p>
        </w:tc>
        <w:tc>
          <w:tcPr>
            <w:tcW w:w="1211" w:type="dxa"/>
            <w:gridSpan w:val="6"/>
            <w:tcBorders/>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debt financing transactions </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remeasurement of debt and other</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 before income taxes</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8994"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business segments (including corporate costs) and items to reconcile the total business segments AEBITDA to our consolidated net loss from continuing operations before income taxes.</w:t>
            </w:r>
          </w:p>
        </w:tc>
        <w:tc>
          <w:tcPr>
            <w:tcW w:w="1211" w:type="dxa"/>
            <w:gridSpan w:val="6"/>
            <w:tcBorders/>
          </w:tcPr>
          <w:p>
            <w:pPr>
              <w:pStyle w:val="TableContents"/>
              <w:bidi w:val="0"/>
              <w:spacing w:before="0" w:after="283"/>
              <w:jc w:val="left"/>
              <w:rPr>
                <w:sz w:val="4"/>
                <w:szCs w:val="4"/>
              </w:rPr>
            </w:pPr>
            <w:r>
              <w:rPr>
                <w:sz w:val="4"/>
                <w:szCs w:val="4"/>
              </w:rPr>
            </w:r>
          </w:p>
        </w:tc>
      </w:tr>
      <w:tr>
        <w:trPr/>
        <w:tc>
          <w:tcPr>
            <w:tcW w:w="8994"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AEBITDA is described in footnote (2) to the first table in this Note 4.</w:t>
            </w:r>
          </w:p>
        </w:tc>
        <w:tc>
          <w:tcPr>
            <w:tcW w:w="1211" w:type="dxa"/>
            <w:gridSpan w:val="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17"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3"/>
        <w:gridCol w:w="942"/>
        <w:gridCol w:w="938"/>
        <w:gridCol w:w="235"/>
        <w:gridCol w:w="521"/>
        <w:gridCol w:w="121"/>
        <w:gridCol w:w="121"/>
        <w:gridCol w:w="121"/>
        <w:gridCol w:w="121"/>
        <w:gridCol w:w="121"/>
        <w:gridCol w:w="121"/>
        <w:gridCol w:w="235"/>
        <w:gridCol w:w="521"/>
        <w:gridCol w:w="121"/>
        <w:gridCol w:w="121"/>
        <w:gridCol w:w="121"/>
        <w:gridCol w:w="121"/>
        <w:gridCol w:w="235"/>
        <w:gridCol w:w="521"/>
        <w:gridCol w:w="121"/>
        <w:gridCol w:w="121"/>
        <w:gridCol w:w="121"/>
        <w:gridCol w:w="121"/>
        <w:gridCol w:w="563"/>
        <w:gridCol w:w="1084"/>
        <w:gridCol w:w="294"/>
        <w:gridCol w:w="109"/>
        <w:gridCol w:w="109"/>
        <w:gridCol w:w="109"/>
        <w:gridCol w:w="211"/>
        <w:gridCol w:w="616"/>
        <w:gridCol w:w="175"/>
      </w:tblGrid>
      <w:tr>
        <w:trPr/>
        <w:tc>
          <w:tcPr>
            <w:tcW w:w="109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1329" w:type="dxa"/>
            <w:gridSpan w:val="6"/>
            <w:tcBorders/>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(2)</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26"/>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income from continuing operations before income taxes:</w:t>
            </w:r>
          </w:p>
        </w:tc>
        <w:tc>
          <w:tcPr>
            <w:tcW w:w="1329" w:type="dxa"/>
            <w:gridSpan w:val="6"/>
            <w:tcBorders/>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continuing operations before income taxes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97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8876"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business segments (including corporate costs) and items to reconcile the total business segments AEBITDA to our consolidated net income from continuing operations before income taxes.</w:t>
            </w:r>
          </w:p>
        </w:tc>
        <w:tc>
          <w:tcPr>
            <w:tcW w:w="1329" w:type="dxa"/>
            <w:gridSpan w:val="6"/>
            <w:tcBorders/>
          </w:tcPr>
          <w:p>
            <w:pPr>
              <w:pStyle w:val="TableContents"/>
              <w:bidi w:val="0"/>
              <w:spacing w:before="0" w:after="283"/>
              <w:jc w:val="left"/>
              <w:rPr>
                <w:sz w:val="4"/>
                <w:szCs w:val="4"/>
              </w:rPr>
            </w:pPr>
            <w:r>
              <w:rPr>
                <w:sz w:val="4"/>
                <w:szCs w:val="4"/>
              </w:rPr>
            </w:r>
          </w:p>
        </w:tc>
      </w:tr>
      <w:tr>
        <w:trPr/>
        <w:tc>
          <w:tcPr>
            <w:tcW w:w="8876"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AEBITDA is described in footnote (2) to the first table in this Note 4.</w:t>
            </w:r>
          </w:p>
        </w:tc>
        <w:tc>
          <w:tcPr>
            <w:tcW w:w="1329" w:type="dxa"/>
            <w:gridSpan w:val="6"/>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3"/>
        <w:gridCol w:w="915"/>
        <w:gridCol w:w="910"/>
        <w:gridCol w:w="237"/>
        <w:gridCol w:w="523"/>
        <w:gridCol w:w="122"/>
        <w:gridCol w:w="122"/>
        <w:gridCol w:w="122"/>
        <w:gridCol w:w="122"/>
        <w:gridCol w:w="122"/>
        <w:gridCol w:w="122"/>
        <w:gridCol w:w="237"/>
        <w:gridCol w:w="523"/>
        <w:gridCol w:w="122"/>
        <w:gridCol w:w="122"/>
        <w:gridCol w:w="122"/>
        <w:gridCol w:w="122"/>
        <w:gridCol w:w="237"/>
        <w:gridCol w:w="523"/>
        <w:gridCol w:w="122"/>
        <w:gridCol w:w="122"/>
        <w:gridCol w:w="122"/>
        <w:gridCol w:w="122"/>
        <w:gridCol w:w="569"/>
        <w:gridCol w:w="1095"/>
        <w:gridCol w:w="297"/>
        <w:gridCol w:w="109"/>
        <w:gridCol w:w="109"/>
        <w:gridCol w:w="109"/>
        <w:gridCol w:w="211"/>
        <w:gridCol w:w="616"/>
        <w:gridCol w:w="164"/>
      </w:tblGrid>
      <w:tr>
        <w:trPr/>
        <w:tc>
          <w:tcPr>
            <w:tcW w:w="11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9" w:type="dxa"/>
            <w:gridSpan w:val="2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c>
          <w:tcPr>
            <w:tcW w:w="1318" w:type="dxa"/>
            <w:gridSpan w:val="6"/>
            <w:tcBorders/>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Unallocated and Reconciling Items</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AEBITDA</w:t>
            </w:r>
            <w:r>
              <w:rPr>
                <w:rFonts w:ascii="Times New Roman;sans-serif" w:hAnsi="Times New Roman;sans-serif"/>
                <w:b w:val="false"/>
                <w:color w:val="000000"/>
                <w:sz w:val="13"/>
              </w:rPr>
              <w:t>(2)</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7" w:type="dxa"/>
            <w:gridSpan w:val="26"/>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Reconciling items to net loss from continuing operations before income taxes:</w:t>
            </w:r>
          </w:p>
        </w:tc>
        <w:tc>
          <w:tcPr>
            <w:tcW w:w="1318" w:type="dxa"/>
            <w:gridSpan w:val="6"/>
            <w:tcBorders/>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D&amp;A</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debt financing transactions </w:t>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remeasurement of debt and other</w:t>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 before income taxes</w:t>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29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8887" w:type="dxa"/>
            <w:gridSpan w:val="2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tcPr>
          <w:p>
            <w:pPr>
              <w:pStyle w:val="TableContents"/>
              <w:bidi w:val="0"/>
              <w:spacing w:before="0" w:after="283"/>
              <w:jc w:val="left"/>
              <w:rPr>
                <w:sz w:val="4"/>
                <w:szCs w:val="4"/>
              </w:rPr>
            </w:pPr>
            <w:r>
              <w:rPr>
                <w:sz w:val="4"/>
                <w:szCs w:val="4"/>
              </w:rPr>
            </w:r>
          </w:p>
        </w:tc>
      </w:tr>
      <w:tr>
        <w:trPr/>
        <w:tc>
          <w:tcPr>
            <w:tcW w:w="8887"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amounts not allocated to the business segments (including corporate costs) and items to reconcile the total business segments AEBITDA to our consolidated net loss from continuing operations before income taxes.</w:t>
            </w:r>
          </w:p>
        </w:tc>
        <w:tc>
          <w:tcPr>
            <w:tcW w:w="1318" w:type="dxa"/>
            <w:gridSpan w:val="6"/>
            <w:tcBorders/>
          </w:tcPr>
          <w:p>
            <w:pPr>
              <w:pStyle w:val="TableContents"/>
              <w:bidi w:val="0"/>
              <w:spacing w:before="0" w:after="283"/>
              <w:jc w:val="left"/>
              <w:rPr>
                <w:sz w:val="4"/>
                <w:szCs w:val="4"/>
              </w:rPr>
            </w:pPr>
            <w:r>
              <w:rPr>
                <w:sz w:val="4"/>
                <w:szCs w:val="4"/>
              </w:rPr>
            </w:r>
          </w:p>
        </w:tc>
      </w:tr>
      <w:tr>
        <w:trPr/>
        <w:tc>
          <w:tcPr>
            <w:tcW w:w="8887"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AEBITDA is described in footnote (2) to the first table in this Note 4.</w:t>
            </w:r>
          </w:p>
        </w:tc>
        <w:tc>
          <w:tcPr>
            <w:tcW w:w="1318"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(5) Restructuring and Other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includes charges or expenses attributable to: (i) employee severance; (ii) management restructuring and related costs; (iii) restructuring and integration; (iv) cost savings initiatives; (v) major litigation; and (vi)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18"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disposition-related costs and other unusual items. The following table summarizes pre-tax restructuring and other costs for the periods presented:</w:t>
      </w:r>
    </w:p>
    <w:tbl>
      <w:tblPr>
        <w:tblW w:w="9654" w:type="dxa"/>
        <w:jc w:val="center"/>
        <w:tblInd w:w="0" w:type="dxa"/>
        <w:tblLayout w:type="fixed"/>
        <w:tblCellMar>
          <w:top w:w="28" w:type="dxa"/>
          <w:left w:w="28" w:type="dxa"/>
          <w:bottom w:w="28" w:type="dxa"/>
          <w:right w:w="28" w:type="dxa"/>
        </w:tblCellMar>
      </w:tblPr>
      <w:tblGrid>
        <w:gridCol w:w="1389"/>
        <w:gridCol w:w="1222"/>
        <w:gridCol w:w="1230"/>
        <w:gridCol w:w="352"/>
        <w:gridCol w:w="602"/>
        <w:gridCol w:w="181"/>
        <w:gridCol w:w="181"/>
        <w:gridCol w:w="181"/>
        <w:gridCol w:w="181"/>
        <w:gridCol w:w="352"/>
        <w:gridCol w:w="602"/>
        <w:gridCol w:w="181"/>
        <w:gridCol w:w="125"/>
        <w:gridCol w:w="125"/>
        <w:gridCol w:w="125"/>
        <w:gridCol w:w="319"/>
        <w:gridCol w:w="547"/>
        <w:gridCol w:w="165"/>
        <w:gridCol w:w="165"/>
        <w:gridCol w:w="165"/>
        <w:gridCol w:w="165"/>
        <w:gridCol w:w="319"/>
        <w:gridCol w:w="547"/>
        <w:gridCol w:w="233"/>
      </w:tblGrid>
      <w:tr>
        <w:trPr/>
        <w:tc>
          <w:tcPr>
            <w:tcW w:w="138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and related</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Strategic review and related</w:t>
            </w:r>
            <w:r>
              <w:rPr>
                <w:rFonts w:ascii="Times New Roman;sans-serif" w:hAnsi="Times New Roman;sans-serif"/>
                <w:b w:val="false"/>
                <w:color w:val="000000"/>
                <w:sz w:val="13"/>
              </w:rPr>
              <w:t>(1)</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Contingent acquisition consideration</w:t>
            </w:r>
            <w:r>
              <w:rPr>
                <w:rFonts w:ascii="Times New Roman;sans-serif" w:hAnsi="Times New Roman;sans-serif"/>
                <w:b w:val="false"/>
                <w:color w:val="000000"/>
                <w:sz w:val="13"/>
              </w:rPr>
              <w:t>(2)</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integration and other</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54"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5813" w:type="dxa"/>
            <w:gridSpan w:val="21"/>
            <w:tcBorders/>
          </w:tcPr>
          <w:p>
            <w:pPr>
              <w:pStyle w:val="TableContents"/>
              <w:bidi w:val="0"/>
              <w:spacing w:before="0" w:after="283"/>
              <w:jc w:val="left"/>
              <w:rPr>
                <w:sz w:val="4"/>
                <w:szCs w:val="4"/>
              </w:rPr>
            </w:pPr>
            <w:r>
              <w:rPr>
                <w:sz w:val="4"/>
                <w:szCs w:val="4"/>
              </w:rPr>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5813" w:type="dxa"/>
            <w:gridSpan w:val="21"/>
            <w:tcBorders/>
          </w:tcPr>
          <w:p>
            <w:pPr>
              <w:pStyle w:val="TableContents"/>
              <w:bidi w:val="0"/>
              <w:spacing w:before="0" w:after="283"/>
              <w:jc w:val="left"/>
              <w:rPr>
                <w:sz w:val="4"/>
                <w:szCs w:val="4"/>
              </w:rPr>
            </w:pPr>
            <w:r>
              <w:rPr>
                <w:sz w:val="4"/>
                <w:szCs w:val="4"/>
              </w:rPr>
            </w:r>
          </w:p>
        </w:tc>
      </w:tr>
      <w:tr>
        <w:trPr/>
        <w:tc>
          <w:tcPr>
            <w:tcW w:w="965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costs associated with the ASX listing, Divestitures (including ongoing separation activities), rebranding and related activities.</w:t>
            </w:r>
          </w:p>
        </w:tc>
      </w:tr>
      <w:tr>
        <w:trPr/>
        <w:tc>
          <w:tcPr>
            <w:tcW w:w="965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Represents contingent consideration fair value adjustment (see Note 12).</w:t>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5813" w:type="dxa"/>
            <w:gridSpan w:val="21"/>
            <w:tcBorders/>
          </w:tcPr>
          <w:p>
            <w:pPr>
              <w:pStyle w:val="TableContents"/>
              <w:bidi w:val="0"/>
              <w:spacing w:before="0" w:after="283"/>
              <w:jc w:val="left"/>
              <w:rPr>
                <w:sz w:val="4"/>
                <w:szCs w:val="4"/>
              </w:rPr>
            </w:pPr>
            <w:r>
              <w:rPr>
                <w:sz w:val="4"/>
                <w:szCs w:val="4"/>
              </w:rPr>
            </w:r>
          </w:p>
        </w:tc>
      </w:tr>
      <w:tr>
        <w:trPr/>
        <w:tc>
          <w:tcPr>
            <w:tcW w:w="3841" w:type="dxa"/>
            <w:gridSpan w:val="3"/>
            <w:tcBorders/>
            <w:vAlign w:val="center"/>
          </w:tcPr>
          <w:p>
            <w:pPr>
              <w:pStyle w:val="TableContents"/>
              <w:bidi w:val="0"/>
              <w:spacing w:before="0" w:after="283"/>
              <w:jc w:val="left"/>
              <w:rPr>
                <w:sz w:val="4"/>
                <w:szCs w:val="4"/>
              </w:rPr>
            </w:pPr>
            <w:r>
              <w:rPr>
                <w:sz w:val="4"/>
                <w:szCs w:val="4"/>
              </w:rPr>
            </w:r>
          </w:p>
        </w:tc>
        <w:tc>
          <w:tcPr>
            <w:tcW w:w="5813"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(6) Receivables, Allowance for Credit Losses and Credit Quality of Receivables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Receivables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current and long-term receivables, net:</w:t>
      </w:r>
    </w:p>
    <w:tbl>
      <w:tblPr>
        <w:tblW w:w="5366" w:type="dxa"/>
        <w:jc w:val="center"/>
        <w:tblInd w:w="0" w:type="dxa"/>
        <w:tblLayout w:type="fixed"/>
        <w:tblCellMar>
          <w:top w:w="28" w:type="dxa"/>
          <w:left w:w="28" w:type="dxa"/>
          <w:bottom w:w="28" w:type="dxa"/>
          <w:right w:w="28" w:type="dxa"/>
        </w:tblCellMar>
      </w:tblPr>
      <w:tblGrid>
        <w:gridCol w:w="828"/>
        <w:gridCol w:w="729"/>
        <w:gridCol w:w="737"/>
        <w:gridCol w:w="310"/>
        <w:gridCol w:w="685"/>
        <w:gridCol w:w="160"/>
        <w:gridCol w:w="109"/>
        <w:gridCol w:w="109"/>
        <w:gridCol w:w="109"/>
        <w:gridCol w:w="402"/>
        <w:gridCol w:w="891"/>
        <w:gridCol w:w="297"/>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Current receivables, net</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receivables, net</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net</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receivable portfolios using both geography and delinquency as key credit quality indicators. The following summarizes geographical delinquencies of total receivables, net:</w:t>
      </w:r>
    </w:p>
    <w:tbl>
      <w:tblPr>
        <w:tblW w:w="10205" w:type="dxa"/>
        <w:jc w:val="center"/>
        <w:tblInd w:w="0" w:type="dxa"/>
        <w:tblLayout w:type="fixed"/>
        <w:tblCellMar>
          <w:top w:w="28" w:type="dxa"/>
          <w:left w:w="28" w:type="dxa"/>
          <w:bottom w:w="28" w:type="dxa"/>
          <w:right w:w="28" w:type="dxa"/>
        </w:tblCellMar>
      </w:tblPr>
      <w:tblGrid>
        <w:gridCol w:w="791"/>
        <w:gridCol w:w="687"/>
        <w:gridCol w:w="688"/>
        <w:gridCol w:w="292"/>
        <w:gridCol w:w="645"/>
        <w:gridCol w:w="150"/>
        <w:gridCol w:w="109"/>
        <w:gridCol w:w="109"/>
        <w:gridCol w:w="109"/>
        <w:gridCol w:w="696"/>
        <w:gridCol w:w="1191"/>
        <w:gridCol w:w="361"/>
        <w:gridCol w:w="109"/>
        <w:gridCol w:w="109"/>
        <w:gridCol w:w="109"/>
        <w:gridCol w:w="380"/>
        <w:gridCol w:w="843"/>
        <w:gridCol w:w="199"/>
        <w:gridCol w:w="109"/>
        <w:gridCol w:w="109"/>
        <w:gridCol w:w="109"/>
        <w:gridCol w:w="666"/>
        <w:gridCol w:w="1141"/>
        <w:gridCol w:w="494"/>
      </w:tblGrid>
      <w:tr>
        <w:trPr/>
        <w:tc>
          <w:tcPr>
            <w:tcW w:w="79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Balances over 90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Balances over 90 days past due</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allowance:</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allowance</w:t>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 balances are charged against the allowances after all internal and external collection efforts have been exhausted and the potential for recovery is considered remote.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19"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activity in our allowance for receivable credit losses for each of the three and six months ended June 30, 2023 and 2022 is as follows:</w:t>
      </w:r>
    </w:p>
    <w:tbl>
      <w:tblPr>
        <w:tblW w:w="8643" w:type="dxa"/>
        <w:jc w:val="center"/>
        <w:tblInd w:w="0" w:type="dxa"/>
        <w:tblLayout w:type="fixed"/>
        <w:tblCellMar>
          <w:top w:w="28" w:type="dxa"/>
          <w:left w:w="28" w:type="dxa"/>
          <w:bottom w:w="28" w:type="dxa"/>
          <w:right w:w="28" w:type="dxa"/>
        </w:tblCellMar>
      </w:tblPr>
      <w:tblGrid>
        <w:gridCol w:w="1282"/>
        <w:gridCol w:w="1125"/>
        <w:gridCol w:w="1132"/>
        <w:gridCol w:w="211"/>
        <w:gridCol w:w="436"/>
        <w:gridCol w:w="109"/>
        <w:gridCol w:w="109"/>
        <w:gridCol w:w="109"/>
        <w:gridCol w:w="109"/>
        <w:gridCol w:w="402"/>
        <w:gridCol w:w="831"/>
        <w:gridCol w:w="207"/>
        <w:gridCol w:w="109"/>
        <w:gridCol w:w="109"/>
        <w:gridCol w:w="109"/>
        <w:gridCol w:w="341"/>
        <w:gridCol w:w="608"/>
        <w:gridCol w:w="177"/>
        <w:gridCol w:w="109"/>
        <w:gridCol w:w="109"/>
        <w:gridCol w:w="109"/>
        <w:gridCol w:w="211"/>
        <w:gridCol w:w="43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and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Beginning allowance for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recoveries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March 31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recoveries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510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3% of our total receivables, net, were past due by over 90 days.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Quality of Receivables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primarily in the Latin America region (“LATAM”) and are primarily comprised of Mexico, Peru and Argentina. The following table summarizes our LATAM receivables:</w:t>
      </w:r>
    </w:p>
    <w:tbl>
      <w:tblPr>
        <w:tblW w:w="7771" w:type="dxa"/>
        <w:jc w:val="left"/>
        <w:tblInd w:w="0" w:type="dxa"/>
        <w:tblLayout w:type="fixed"/>
        <w:tblCellMar>
          <w:top w:w="28" w:type="dxa"/>
          <w:left w:w="28" w:type="dxa"/>
          <w:bottom w:w="28" w:type="dxa"/>
          <w:right w:w="28" w:type="dxa"/>
        </w:tblCellMar>
      </w:tblPr>
      <w:tblGrid>
        <w:gridCol w:w="830"/>
        <w:gridCol w:w="731"/>
        <w:gridCol w:w="733"/>
        <w:gridCol w:w="211"/>
        <w:gridCol w:w="361"/>
        <w:gridCol w:w="109"/>
        <w:gridCol w:w="109"/>
        <w:gridCol w:w="109"/>
        <w:gridCol w:w="109"/>
        <w:gridCol w:w="109"/>
        <w:gridCol w:w="109"/>
        <w:gridCol w:w="228"/>
        <w:gridCol w:w="390"/>
        <w:gridCol w:w="118"/>
        <w:gridCol w:w="109"/>
        <w:gridCol w:w="109"/>
        <w:gridCol w:w="109"/>
        <w:gridCol w:w="768"/>
        <w:gridCol w:w="1320"/>
        <w:gridCol w:w="401"/>
        <w:gridCol w:w="109"/>
        <w:gridCol w:w="109"/>
        <w:gridCol w:w="109"/>
        <w:gridCol w:w="109"/>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Balances over 90 days past due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continuously review receivables and, as information concerning credit quality arise,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receivables is estimated by discounting expected future cash flows using current interest rates at which similar loans would be made to borrowers with similar credit ratings and remaining maturities. As of June 30, 2023 and December 31, 2022, the fair value of receivables, net, approximated the carrying value due to contractual terms of receivables generally being less than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(7) Inventories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5262" w:type="dxa"/>
        <w:jc w:val="center"/>
        <w:tblInd w:w="0" w:type="dxa"/>
        <w:tblLayout w:type="fixed"/>
        <w:tblCellMar>
          <w:top w:w="28" w:type="dxa"/>
          <w:left w:w="28" w:type="dxa"/>
          <w:bottom w:w="28" w:type="dxa"/>
          <w:right w:w="28" w:type="dxa"/>
        </w:tblCellMar>
      </w:tblPr>
      <w:tblGrid>
        <w:gridCol w:w="793"/>
        <w:gridCol w:w="697"/>
        <w:gridCol w:w="700"/>
        <w:gridCol w:w="310"/>
        <w:gridCol w:w="685"/>
        <w:gridCol w:w="160"/>
        <w:gridCol w:w="109"/>
        <w:gridCol w:w="109"/>
        <w:gridCol w:w="109"/>
        <w:gridCol w:w="402"/>
        <w:gridCol w:w="891"/>
        <w:gridCol w:w="29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Parts and work-in-process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color w:val="000000"/>
        </w:rPr>
      </w:pPr>
      <w:r>
        <w:rPr>
          <w:color w:val="000000"/>
        </w:rPr>
        <w:t>    </w:t>
      </w:r>
      <w:r>
        <w:rPr>
          <w:rFonts w:ascii="Times New Roman;sans-serif" w:hAnsi="Times New Roman;sans-serif"/>
          <w:b w:val="false"/>
          <w:color w:val="000000"/>
          <w:sz w:val="20"/>
        </w:rPr>
        <w:t>Parts and work-in-process include parts for gaming machines and our finished goods inventory primarily consists of gaming machines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0"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(8) Property and Equipment,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372" w:type="dxa"/>
        <w:jc w:val="center"/>
        <w:tblInd w:w="0" w:type="dxa"/>
        <w:tblLayout w:type="fixed"/>
        <w:tblCellMar>
          <w:top w:w="28" w:type="dxa"/>
          <w:left w:w="28" w:type="dxa"/>
          <w:bottom w:w="28" w:type="dxa"/>
          <w:right w:w="28" w:type="dxa"/>
        </w:tblCellMar>
      </w:tblPr>
      <w:tblGrid>
        <w:gridCol w:w="1195"/>
        <w:gridCol w:w="1047"/>
        <w:gridCol w:w="1058"/>
        <w:gridCol w:w="310"/>
        <w:gridCol w:w="685"/>
        <w:gridCol w:w="160"/>
        <w:gridCol w:w="109"/>
        <w:gridCol w:w="109"/>
        <w:gridCol w:w="109"/>
        <w:gridCol w:w="402"/>
        <w:gridCol w:w="891"/>
        <w:gridCol w:w="297"/>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machinery and equipment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and equipment</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072" w:type="dxa"/>
            <w:gridSpan w:val="9"/>
            <w:tcBorders/>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is excluded from cost of services, cost of product sales and other operating expenses and is separately presented within Depreciation, amortization and impairments.</w:t>
      </w:r>
    </w:p>
    <w:tbl>
      <w:tblPr>
        <w:tblW w:w="6917" w:type="dxa"/>
        <w:jc w:val="center"/>
        <w:tblInd w:w="0" w:type="dxa"/>
        <w:tblLayout w:type="fixed"/>
        <w:tblCellMar>
          <w:top w:w="28" w:type="dxa"/>
          <w:left w:w="28" w:type="dxa"/>
          <w:bottom w:w="28" w:type="dxa"/>
          <w:right w:w="28" w:type="dxa"/>
        </w:tblCellMar>
      </w:tblPr>
      <w:tblGrid>
        <w:gridCol w:w="679"/>
        <w:gridCol w:w="597"/>
        <w:gridCol w:w="599"/>
        <w:gridCol w:w="305"/>
        <w:gridCol w:w="522"/>
        <w:gridCol w:w="157"/>
        <w:gridCol w:w="157"/>
        <w:gridCol w:w="157"/>
        <w:gridCol w:w="157"/>
        <w:gridCol w:w="305"/>
        <w:gridCol w:w="522"/>
        <w:gridCol w:w="157"/>
        <w:gridCol w:w="109"/>
        <w:gridCol w:w="109"/>
        <w:gridCol w:w="109"/>
        <w:gridCol w:w="277"/>
        <w:gridCol w:w="474"/>
        <w:gridCol w:w="143"/>
        <w:gridCol w:w="143"/>
        <w:gridCol w:w="143"/>
        <w:gridCol w:w="143"/>
        <w:gridCol w:w="277"/>
        <w:gridCol w:w="474"/>
        <w:gridCol w:w="20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5042"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Intangible Assets, net and Goodwill</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information regarding our intangible assets as of June 30, 2023 and December 31, 2022:</w:t>
      </w:r>
    </w:p>
    <w:tbl>
      <w:tblPr>
        <w:tblW w:w="10205" w:type="dxa"/>
        <w:jc w:val="center"/>
        <w:tblInd w:w="0" w:type="dxa"/>
        <w:tblLayout w:type="fixed"/>
        <w:tblCellMar>
          <w:top w:w="28" w:type="dxa"/>
          <w:left w:w="28" w:type="dxa"/>
          <w:bottom w:w="28" w:type="dxa"/>
          <w:right w:w="28" w:type="dxa"/>
        </w:tblCellMar>
      </w:tblPr>
      <w:tblGrid>
        <w:gridCol w:w="574"/>
        <w:gridCol w:w="474"/>
        <w:gridCol w:w="476"/>
        <w:gridCol w:w="259"/>
        <w:gridCol w:w="759"/>
        <w:gridCol w:w="134"/>
        <w:gridCol w:w="109"/>
        <w:gridCol w:w="109"/>
        <w:gridCol w:w="109"/>
        <w:gridCol w:w="308"/>
        <w:gridCol w:w="924"/>
        <w:gridCol w:w="160"/>
        <w:gridCol w:w="109"/>
        <w:gridCol w:w="109"/>
        <w:gridCol w:w="109"/>
        <w:gridCol w:w="109"/>
        <w:gridCol w:w="109"/>
        <w:gridCol w:w="226"/>
        <w:gridCol w:w="500"/>
        <w:gridCol w:w="117"/>
        <w:gridCol w:w="109"/>
        <w:gridCol w:w="109"/>
        <w:gridCol w:w="109"/>
        <w:gridCol w:w="259"/>
        <w:gridCol w:w="759"/>
        <w:gridCol w:w="134"/>
        <w:gridCol w:w="109"/>
        <w:gridCol w:w="109"/>
        <w:gridCol w:w="109"/>
        <w:gridCol w:w="308"/>
        <w:gridCol w:w="924"/>
        <w:gridCol w:w="160"/>
        <w:gridCol w:w="109"/>
        <w:gridCol w:w="109"/>
        <w:gridCol w:w="109"/>
        <w:gridCol w:w="225"/>
        <w:gridCol w:w="498"/>
        <w:gridCol w:w="174"/>
      </w:tblGrid>
      <w:tr>
        <w:trPr/>
        <w:tc>
          <w:tcPr>
            <w:tcW w:w="5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7"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1224" w:type="dxa"/>
            <w:gridSpan w:val="6"/>
            <w:tcBorders/>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224" w:type="dxa"/>
            <w:gridSpan w:val="6"/>
            <w:tcBorders/>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Net Balance</w:t>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names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other</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524"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reflects intangible amortization expense included within Depreciation, amortization and impairments.</w:t>
      </w:r>
    </w:p>
    <w:tbl>
      <w:tblPr>
        <w:tblW w:w="10205" w:type="dxa"/>
        <w:jc w:val="center"/>
        <w:tblInd w:w="0" w:type="dxa"/>
        <w:tblLayout w:type="fixed"/>
        <w:tblCellMar>
          <w:top w:w="28" w:type="dxa"/>
          <w:left w:w="28" w:type="dxa"/>
          <w:bottom w:w="28" w:type="dxa"/>
          <w:right w:w="28" w:type="dxa"/>
        </w:tblCellMar>
      </w:tblPr>
      <w:tblGrid>
        <w:gridCol w:w="1043"/>
        <w:gridCol w:w="915"/>
        <w:gridCol w:w="920"/>
        <w:gridCol w:w="434"/>
        <w:gridCol w:w="744"/>
        <w:gridCol w:w="223"/>
        <w:gridCol w:w="223"/>
        <w:gridCol w:w="223"/>
        <w:gridCol w:w="223"/>
        <w:gridCol w:w="434"/>
        <w:gridCol w:w="744"/>
        <w:gridCol w:w="223"/>
        <w:gridCol w:w="165"/>
        <w:gridCol w:w="165"/>
        <w:gridCol w:w="165"/>
        <w:gridCol w:w="364"/>
        <w:gridCol w:w="805"/>
        <w:gridCol w:w="187"/>
        <w:gridCol w:w="187"/>
        <w:gridCol w:w="187"/>
        <w:gridCol w:w="187"/>
        <w:gridCol w:w="364"/>
        <w:gridCol w:w="805"/>
        <w:gridCol w:w="275"/>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expense</w:t>
            </w:r>
            <w:r>
              <w:rPr>
                <w:rFonts w:ascii="Times New Roman;sans-serif" w:hAnsi="Times New Roman;sans-serif"/>
                <w:b w:val="false"/>
                <w:color w:val="000000"/>
                <w:sz w:val="13"/>
              </w:rPr>
              <w:t>(1)</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three and six months ended June 30, 2023 include intangible assets non-cash impairment charge of $4 million related to SciPlay restructuring of a certain foreign studio.</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1"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change in the carrying value of goodwill by business segment for the period from December 31, 2022 to June 30, 2023.</w:t>
      </w:r>
    </w:p>
    <w:tbl>
      <w:tblPr>
        <w:tblW w:w="9379" w:type="dxa"/>
        <w:jc w:val="center"/>
        <w:tblInd w:w="0" w:type="dxa"/>
        <w:tblLayout w:type="fixed"/>
        <w:tblCellMar>
          <w:top w:w="28" w:type="dxa"/>
          <w:left w:w="28" w:type="dxa"/>
          <w:bottom w:w="28" w:type="dxa"/>
          <w:right w:w="28" w:type="dxa"/>
        </w:tblCellMar>
      </w:tblPr>
      <w:tblGrid>
        <w:gridCol w:w="1230"/>
        <w:gridCol w:w="1081"/>
        <w:gridCol w:w="1083"/>
        <w:gridCol w:w="131"/>
        <w:gridCol w:w="131"/>
        <w:gridCol w:w="131"/>
        <w:gridCol w:w="254"/>
        <w:gridCol w:w="741"/>
        <w:gridCol w:w="131"/>
        <w:gridCol w:w="131"/>
        <w:gridCol w:w="131"/>
        <w:gridCol w:w="131"/>
        <w:gridCol w:w="131"/>
        <w:gridCol w:w="131"/>
        <w:gridCol w:w="254"/>
        <w:gridCol w:w="561"/>
        <w:gridCol w:w="131"/>
        <w:gridCol w:w="131"/>
        <w:gridCol w:w="131"/>
        <w:gridCol w:w="131"/>
        <w:gridCol w:w="254"/>
        <w:gridCol w:w="561"/>
        <w:gridCol w:w="131"/>
        <w:gridCol w:w="109"/>
        <w:gridCol w:w="109"/>
        <w:gridCol w:w="109"/>
        <w:gridCol w:w="109"/>
        <w:gridCol w:w="109"/>
        <w:gridCol w:w="211"/>
        <w:gridCol w:w="61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Gaming</w:t>
            </w:r>
            <w:r>
              <w:rPr>
                <w:rFonts w:ascii="Times New Roman;sans-serif" w:hAnsi="Times New Roman;sans-serif"/>
                <w:b/>
                <w:color w:val="000000"/>
                <w:sz w:val="12"/>
              </w:rPr>
              <w:t>(1)</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SciPlay</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Totals</w:t>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adjustments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2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Accumulated goodwill impairment charges for the Gaming segment as of June 30, 2023 were $989 million.</w:t>
            </w:r>
          </w:p>
        </w:tc>
        <w:tc>
          <w:tcPr>
            <w:tcW w:w="1526" w:type="dxa"/>
            <w:gridSpan w:val="8"/>
            <w:tcBorders/>
          </w:tcPr>
          <w:p>
            <w:pPr>
              <w:pStyle w:val="TableContents"/>
              <w:bidi w:val="0"/>
              <w:spacing w:before="0" w:after="283"/>
              <w:jc w:val="left"/>
              <w:rPr>
                <w:sz w:val="4"/>
                <w:szCs w:val="4"/>
              </w:rPr>
            </w:pPr>
            <w:r>
              <w:rPr>
                <w:sz w:val="4"/>
                <w:szCs w:val="4"/>
              </w:rPr>
            </w:r>
          </w:p>
        </w:tc>
      </w:tr>
      <w:tr>
        <w:trPr/>
        <w:tc>
          <w:tcPr>
            <w:tcW w:w="3394" w:type="dxa"/>
            <w:gridSpan w:val="3"/>
            <w:tcBorders/>
            <w:vAlign w:val="center"/>
          </w:tcPr>
          <w:p>
            <w:pPr>
              <w:pStyle w:val="TableContents"/>
              <w:bidi w:val="0"/>
              <w:spacing w:before="0" w:after="283"/>
              <w:jc w:val="left"/>
              <w:rPr>
                <w:sz w:val="4"/>
                <w:szCs w:val="4"/>
              </w:rPr>
            </w:pPr>
            <w:r>
              <w:rPr>
                <w:sz w:val="4"/>
                <w:szCs w:val="4"/>
              </w:rPr>
            </w:r>
          </w:p>
        </w:tc>
        <w:tc>
          <w:tcPr>
            <w:tcW w:w="5985" w:type="dxa"/>
            <w:gridSpan w:val="28"/>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(10) Software, net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Software, net consisted of the following:</w:t>
      </w:r>
    </w:p>
    <w:tbl>
      <w:tblPr>
        <w:tblW w:w="5351" w:type="dxa"/>
        <w:jc w:val="center"/>
        <w:tblInd w:w="0" w:type="dxa"/>
        <w:tblLayout w:type="fixed"/>
        <w:tblCellMar>
          <w:top w:w="28" w:type="dxa"/>
          <w:left w:w="28" w:type="dxa"/>
          <w:bottom w:w="28" w:type="dxa"/>
          <w:right w:w="28" w:type="dxa"/>
        </w:tblCellMar>
      </w:tblPr>
      <w:tblGrid>
        <w:gridCol w:w="824"/>
        <w:gridCol w:w="725"/>
        <w:gridCol w:w="731"/>
        <w:gridCol w:w="260"/>
        <w:gridCol w:w="760"/>
        <w:gridCol w:w="134"/>
        <w:gridCol w:w="109"/>
        <w:gridCol w:w="109"/>
        <w:gridCol w:w="109"/>
        <w:gridCol w:w="342"/>
        <w:gridCol w:w="999"/>
        <w:gridCol w:w="249"/>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net</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reflects amortization of software included within D&amp;A:</w:t>
      </w:r>
    </w:p>
    <w:tbl>
      <w:tblPr>
        <w:tblW w:w="6947" w:type="dxa"/>
        <w:jc w:val="center"/>
        <w:tblInd w:w="0" w:type="dxa"/>
        <w:tblLayout w:type="fixed"/>
        <w:tblCellMar>
          <w:top w:w="28" w:type="dxa"/>
          <w:left w:w="28" w:type="dxa"/>
          <w:bottom w:w="28" w:type="dxa"/>
          <w:right w:w="28" w:type="dxa"/>
        </w:tblCellMar>
      </w:tblPr>
      <w:tblGrid>
        <w:gridCol w:w="690"/>
        <w:gridCol w:w="606"/>
        <w:gridCol w:w="609"/>
        <w:gridCol w:w="305"/>
        <w:gridCol w:w="522"/>
        <w:gridCol w:w="157"/>
        <w:gridCol w:w="157"/>
        <w:gridCol w:w="157"/>
        <w:gridCol w:w="157"/>
        <w:gridCol w:w="305"/>
        <w:gridCol w:w="522"/>
        <w:gridCol w:w="157"/>
        <w:gridCol w:w="109"/>
        <w:gridCol w:w="109"/>
        <w:gridCol w:w="109"/>
        <w:gridCol w:w="277"/>
        <w:gridCol w:w="474"/>
        <w:gridCol w:w="143"/>
        <w:gridCol w:w="143"/>
        <w:gridCol w:w="143"/>
        <w:gridCol w:w="143"/>
        <w:gridCol w:w="277"/>
        <w:gridCol w:w="474"/>
        <w:gridCol w:w="202"/>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(11) Long-term Debt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our outstanding debt (in order of priority and maturity):</w:t>
      </w:r>
    </w:p>
    <w:tbl>
      <w:tblPr>
        <w:tblW w:w="10205" w:type="dxa"/>
        <w:jc w:val="center"/>
        <w:tblInd w:w="0" w:type="dxa"/>
        <w:tblLayout w:type="fixed"/>
        <w:tblCellMar>
          <w:top w:w="28" w:type="dxa"/>
          <w:left w:w="28" w:type="dxa"/>
          <w:bottom w:w="28" w:type="dxa"/>
          <w:right w:w="28" w:type="dxa"/>
        </w:tblCellMar>
      </w:tblPr>
      <w:tblGrid>
        <w:gridCol w:w="723"/>
        <w:gridCol w:w="487"/>
        <w:gridCol w:w="490"/>
        <w:gridCol w:w="300"/>
        <w:gridCol w:w="300"/>
        <w:gridCol w:w="301"/>
        <w:gridCol w:w="109"/>
        <w:gridCol w:w="109"/>
        <w:gridCol w:w="109"/>
        <w:gridCol w:w="254"/>
        <w:gridCol w:w="254"/>
        <w:gridCol w:w="258"/>
        <w:gridCol w:w="109"/>
        <w:gridCol w:w="109"/>
        <w:gridCol w:w="109"/>
        <w:gridCol w:w="211"/>
        <w:gridCol w:w="616"/>
        <w:gridCol w:w="109"/>
        <w:gridCol w:w="109"/>
        <w:gridCol w:w="109"/>
        <w:gridCol w:w="109"/>
        <w:gridCol w:w="635"/>
        <w:gridCol w:w="1225"/>
        <w:gridCol w:w="331"/>
        <w:gridCol w:w="109"/>
        <w:gridCol w:w="109"/>
        <w:gridCol w:w="109"/>
        <w:gridCol w:w="212"/>
        <w:gridCol w:w="619"/>
        <w:gridCol w:w="109"/>
        <w:gridCol w:w="109"/>
        <w:gridCol w:w="109"/>
        <w:gridCol w:w="109"/>
        <w:gridCol w:w="243"/>
        <w:gridCol w:w="710"/>
        <w:gridCol w:w="183"/>
      </w:tblGrid>
      <w:tr>
        <w:trPr/>
        <w:tc>
          <w:tcPr>
            <w:tcW w:w="72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Unamortized debt discount/premium and deferred financing costs,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Facilities:</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 Revolver</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Revolver</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Term Loan B</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LNWI Senior Notes: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Unsecured Notes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outstanding</w:t>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portion</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of debt</w:t>
            </w:r>
            <w:r>
              <w:rPr>
                <w:rFonts w:ascii="Times New Roman;sans-serif" w:hAnsi="Times New Roman;sans-serif"/>
                <w:b w:val="false"/>
                <w:color w:val="000000"/>
                <w:sz w:val="13"/>
              </w:rPr>
              <w:t>(1)</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8505" w:type="dxa"/>
            <w:gridSpan w:val="33"/>
            <w:tcBorders/>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8505" w:type="dxa"/>
            <w:gridSpan w:val="33"/>
            <w:tcBorders/>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8505"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Fair value of our fixed rate and variable interest rate debt is classified within Level 2 in the fair value hierarchy and has been calculated based on the quoted market prices of our securities.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2"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the financial covenants under all debt agreements as of June 30, 2023 (for information regarding our financial covenants of all debt agreements, see Note 15 in our 2022 10-K).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Debt Financing Transactions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components of the loss on debt financing transactions resulting from debt extinguishment and modification accounting for the three and six months ended June 30, 2022. No such transactions occurred during the three and six months ended June 30, 2023.</w:t>
      </w:r>
    </w:p>
    <w:tbl>
      <w:tblPr>
        <w:tblW w:w="7424" w:type="dxa"/>
        <w:jc w:val="left"/>
        <w:tblInd w:w="0" w:type="dxa"/>
        <w:tblLayout w:type="fixed"/>
        <w:tblCellMar>
          <w:top w:w="28" w:type="dxa"/>
          <w:left w:w="28" w:type="dxa"/>
          <w:bottom w:w="28" w:type="dxa"/>
          <w:right w:w="28" w:type="dxa"/>
        </w:tblCellMar>
      </w:tblPr>
      <w:tblGrid>
        <w:gridCol w:w="1810"/>
        <w:gridCol w:w="1587"/>
        <w:gridCol w:w="1597"/>
        <w:gridCol w:w="617"/>
        <w:gridCol w:w="1363"/>
        <w:gridCol w:w="450"/>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and Six Months Ended</w:t>
              <w:br/>
              <w:t>June 30, 2022</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principal balance at premium</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deferred financing costs, net</w:t>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on debt refinancing transactions</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terms of our credit facilities and Senior Notes, see Note 15 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held the following derivative instruments that were accounted for pursuant to ASC 815:</w:t>
      </w:r>
    </w:p>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Swap Contracts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interest rate swap contracts as described below to mitigate gains or losses associated with the change in expected cash flows due to fluctuations in interest rates on our variable rate debt.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interest rate swap contracts to hedge a portion of our interest expense associated with our new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interest rate swaps was $700 million as of June 30, 2023. These hedges mature in April 2027. We also previously had interest rate swap contracts that matured in February 2022.</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gains and losses from these hedges were recorded in other comprehensive income (loss) until the future underlying payment transactions occur. Any realized gains or losses resulting from the hedges were recognized (together with the hedged transaction) as interest expense. We estimated the fair value of our interest rate swap contracts by discounting the future cash flows of both the fixed rate and variable rate interest payments based on market yield curves. The inputs used to measure the fair value of our interest rate swap contracts were categorized as Level 2 in the fair value hierarchy as established by ASC 820.</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gain and interest expense recognized on our interest rate swap contracts:</w:t>
      </w:r>
    </w:p>
    <w:tbl>
      <w:tblPr>
        <w:tblW w:w="10205" w:type="dxa"/>
        <w:jc w:val="center"/>
        <w:tblInd w:w="0" w:type="dxa"/>
        <w:tblLayout w:type="fixed"/>
        <w:tblCellMar>
          <w:top w:w="28" w:type="dxa"/>
          <w:left w:w="28" w:type="dxa"/>
          <w:bottom w:w="28" w:type="dxa"/>
          <w:right w:w="28" w:type="dxa"/>
        </w:tblCellMar>
      </w:tblPr>
      <w:tblGrid>
        <w:gridCol w:w="1946"/>
        <w:gridCol w:w="1711"/>
        <w:gridCol w:w="1719"/>
        <w:gridCol w:w="309"/>
        <w:gridCol w:w="530"/>
        <w:gridCol w:w="159"/>
        <w:gridCol w:w="159"/>
        <w:gridCol w:w="159"/>
        <w:gridCol w:w="159"/>
        <w:gridCol w:w="309"/>
        <w:gridCol w:w="376"/>
        <w:gridCol w:w="159"/>
        <w:gridCol w:w="109"/>
        <w:gridCol w:w="109"/>
        <w:gridCol w:w="109"/>
        <w:gridCol w:w="300"/>
        <w:gridCol w:w="365"/>
        <w:gridCol w:w="155"/>
        <w:gridCol w:w="155"/>
        <w:gridCol w:w="155"/>
        <w:gridCol w:w="155"/>
        <w:gridCol w:w="300"/>
        <w:gridCol w:w="365"/>
        <w:gridCol w:w="233"/>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recorded in accumulated other comprehensive loss, net of tax</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(expense) recorded related to interest rate swap contracts </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6" w:type="dxa"/>
            <w:gridSpan w:val="3"/>
            <w:tcBorders/>
            <w:vAlign w:val="center"/>
          </w:tcPr>
          <w:p>
            <w:pPr>
              <w:pStyle w:val="TableContents"/>
              <w:bidi w:val="0"/>
              <w:spacing w:before="0" w:after="283"/>
              <w:jc w:val="left"/>
              <w:rPr>
                <w:sz w:val="4"/>
                <w:szCs w:val="4"/>
              </w:rPr>
            </w:pPr>
            <w:r>
              <w:rPr>
                <w:sz w:val="4"/>
                <w:szCs w:val="4"/>
              </w:rPr>
            </w:r>
          </w:p>
        </w:tc>
        <w:tc>
          <w:tcPr>
            <w:tcW w:w="4829"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to reclassify material amounts from accumulated other comprehensive loss to interest expense in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3"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effect of interest rate swap contracts designated as cash flow hedges on interest expense in the consolidated statements of operations:</w:t>
      </w:r>
    </w:p>
    <w:tbl>
      <w:tblPr>
        <w:tblW w:w="10205" w:type="dxa"/>
        <w:jc w:val="center"/>
        <w:tblInd w:w="0" w:type="dxa"/>
        <w:tblLayout w:type="fixed"/>
        <w:tblCellMar>
          <w:top w:w="28" w:type="dxa"/>
          <w:left w:w="28" w:type="dxa"/>
          <w:bottom w:w="28" w:type="dxa"/>
          <w:right w:w="28" w:type="dxa"/>
        </w:tblCellMar>
      </w:tblPr>
      <w:tblGrid>
        <w:gridCol w:w="1913"/>
        <w:gridCol w:w="1660"/>
        <w:gridCol w:w="1673"/>
        <w:gridCol w:w="274"/>
        <w:gridCol w:w="562"/>
        <w:gridCol w:w="141"/>
        <w:gridCol w:w="141"/>
        <w:gridCol w:w="141"/>
        <w:gridCol w:w="141"/>
        <w:gridCol w:w="274"/>
        <w:gridCol w:w="562"/>
        <w:gridCol w:w="141"/>
        <w:gridCol w:w="109"/>
        <w:gridCol w:w="109"/>
        <w:gridCol w:w="109"/>
        <w:gridCol w:w="227"/>
        <w:gridCol w:w="580"/>
        <w:gridCol w:w="117"/>
        <w:gridCol w:w="117"/>
        <w:gridCol w:w="117"/>
        <w:gridCol w:w="117"/>
        <w:gridCol w:w="227"/>
        <w:gridCol w:w="580"/>
        <w:gridCol w:w="173"/>
      </w:tblGrid>
      <w:tr>
        <w:trPr/>
        <w:tc>
          <w:tcPr>
            <w:tcW w:w="191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46"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2582" w:type="dxa"/>
            <w:gridSpan w:val="12"/>
            <w:tcBorders/>
          </w:tcPr>
          <w:p>
            <w:pPr>
              <w:pStyle w:val="TableContents"/>
              <w:bidi w:val="0"/>
              <w:spacing w:before="0" w:after="283"/>
              <w:jc w:val="left"/>
              <w:rPr>
                <w:sz w:val="4"/>
                <w:szCs w:val="4"/>
              </w:rPr>
            </w:pPr>
            <w:r>
              <w:rPr>
                <w:sz w:val="4"/>
                <w:szCs w:val="4"/>
              </w:rPr>
            </w:r>
          </w:p>
        </w:tc>
      </w:tr>
      <w:tr>
        <w:trPr/>
        <w:tc>
          <w:tcPr>
            <w:tcW w:w="5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which reflects the effects of cash flow hedges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Hedged item</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designated as hedging instrument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fair value of our hedges:</w:t>
      </w:r>
    </w:p>
    <w:tbl>
      <w:tblPr>
        <w:tblW w:w="6953" w:type="dxa"/>
        <w:jc w:val="center"/>
        <w:tblInd w:w="0" w:type="dxa"/>
        <w:tblLayout w:type="fixed"/>
        <w:tblCellMar>
          <w:top w:w="28" w:type="dxa"/>
          <w:left w:w="28" w:type="dxa"/>
          <w:bottom w:w="28" w:type="dxa"/>
          <w:right w:w="28" w:type="dxa"/>
        </w:tblCellMar>
      </w:tblPr>
      <w:tblGrid>
        <w:gridCol w:w="575"/>
        <w:gridCol w:w="505"/>
        <w:gridCol w:w="509"/>
        <w:gridCol w:w="654"/>
        <w:gridCol w:w="654"/>
        <w:gridCol w:w="657"/>
        <w:gridCol w:w="109"/>
        <w:gridCol w:w="109"/>
        <w:gridCol w:w="109"/>
        <w:gridCol w:w="358"/>
        <w:gridCol w:w="612"/>
        <w:gridCol w:w="185"/>
        <w:gridCol w:w="109"/>
        <w:gridCol w:w="109"/>
        <w:gridCol w:w="109"/>
        <w:gridCol w:w="462"/>
        <w:gridCol w:w="790"/>
        <w:gridCol w:w="33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364"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364"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364"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364"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364" w:type="dxa"/>
            <w:gridSpan w:val="15"/>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5364"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Acquisition Consideration Liabilities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change in the contingent acquisition consideration liabilities (including deferred purchase price) for the period from December 31, 2022 to June 30, 2023.</w:t>
      </w:r>
    </w:p>
    <w:tbl>
      <w:tblPr>
        <w:tblW w:w="10205" w:type="dxa"/>
        <w:jc w:val="left"/>
        <w:tblInd w:w="0" w:type="dxa"/>
        <w:tblLayout w:type="fixed"/>
        <w:tblCellMar>
          <w:top w:w="28" w:type="dxa"/>
          <w:left w:w="28" w:type="dxa"/>
          <w:bottom w:w="28" w:type="dxa"/>
          <w:right w:w="28" w:type="dxa"/>
        </w:tblCellMar>
      </w:tblPr>
      <w:tblGrid>
        <w:gridCol w:w="1044"/>
        <w:gridCol w:w="918"/>
        <w:gridCol w:w="920"/>
        <w:gridCol w:w="297"/>
        <w:gridCol w:w="510"/>
        <w:gridCol w:w="154"/>
        <w:gridCol w:w="154"/>
        <w:gridCol w:w="154"/>
        <w:gridCol w:w="154"/>
        <w:gridCol w:w="734"/>
        <w:gridCol w:w="1257"/>
        <w:gridCol w:w="382"/>
        <w:gridCol w:w="154"/>
        <w:gridCol w:w="154"/>
        <w:gridCol w:w="154"/>
        <w:gridCol w:w="889"/>
        <w:gridCol w:w="1521"/>
        <w:gridCol w:w="655"/>
      </w:tblGrid>
      <w:tr>
        <w:trPr/>
        <w:tc>
          <w:tcPr>
            <w:tcW w:w="10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Included in Accrued Liabilities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Included in Other Long-Term Liabilities</w:t>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3065" w:type="dxa"/>
            <w:gridSpan w:val="3"/>
            <w:tcBorders/>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adjustments</w:t>
            </w:r>
            <w:r>
              <w:rPr>
                <w:rFonts w:ascii="Times New Roman;sans-serif" w:hAnsi="Times New Roman;sans-serif"/>
                <w:b w:val="false"/>
                <w:color w:val="000000"/>
                <w:sz w:val="13"/>
              </w:rPr>
              <w:t>(1)</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adjustments</w:t>
            </w:r>
            <w:r>
              <w:rPr>
                <w:rFonts w:ascii="Times New Roman;sans-serif" w:hAnsi="Times New Roman;sans-serif"/>
                <w:b w:val="false"/>
                <w:color w:val="000000"/>
                <w:sz w:val="13"/>
              </w:rPr>
              <w:t>(2)</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Amount included in Restructuring and other (see Note 5).</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Primarily represents extinguishment of $3 million in redeemable non-controlling interest liability associated with SciPlay’s acquisition of Alictus Yazilim Anonim Şirketi in 2022, as specified financial targets for the first year were not met. The charge was recorded in other income, net in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24"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(13) Stockholders’ Equity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Stockholders’ Equity (Deficit)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certain information regarding our stockholders’ equity as of June 30, 2023 and 2022:</w:t>
      </w:r>
    </w:p>
    <w:tbl>
      <w:tblPr>
        <w:tblW w:w="10245" w:type="dxa"/>
        <w:jc w:val="left"/>
        <w:tblInd w:w="0" w:type="dxa"/>
        <w:tblLayout w:type="fixed"/>
        <w:tblCellMar>
          <w:top w:w="28" w:type="dxa"/>
          <w:left w:w="28" w:type="dxa"/>
          <w:bottom w:w="28" w:type="dxa"/>
          <w:right w:w="28" w:type="dxa"/>
        </w:tblCellMar>
      </w:tblPr>
      <w:tblGrid>
        <w:gridCol w:w="814"/>
        <w:gridCol w:w="268"/>
        <w:gridCol w:w="269"/>
        <w:gridCol w:w="302"/>
        <w:gridCol w:w="367"/>
        <w:gridCol w:w="157"/>
        <w:gridCol w:w="109"/>
        <w:gridCol w:w="109"/>
        <w:gridCol w:w="109"/>
        <w:gridCol w:w="211"/>
        <w:gridCol w:w="616"/>
        <w:gridCol w:w="109"/>
        <w:gridCol w:w="109"/>
        <w:gridCol w:w="109"/>
        <w:gridCol w:w="109"/>
        <w:gridCol w:w="217"/>
        <w:gridCol w:w="480"/>
        <w:gridCol w:w="114"/>
        <w:gridCol w:w="109"/>
        <w:gridCol w:w="109"/>
        <w:gridCol w:w="109"/>
        <w:gridCol w:w="211"/>
        <w:gridCol w:w="491"/>
        <w:gridCol w:w="109"/>
        <w:gridCol w:w="109"/>
        <w:gridCol w:w="109"/>
        <w:gridCol w:w="109"/>
        <w:gridCol w:w="344"/>
        <w:gridCol w:w="784"/>
        <w:gridCol w:w="178"/>
        <w:gridCol w:w="109"/>
        <w:gridCol w:w="109"/>
        <w:gridCol w:w="109"/>
        <w:gridCol w:w="338"/>
        <w:gridCol w:w="747"/>
        <w:gridCol w:w="176"/>
        <w:gridCol w:w="109"/>
        <w:gridCol w:w="109"/>
        <w:gridCol w:w="109"/>
        <w:gridCol w:w="211"/>
        <w:gridCol w:w="61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1, 2023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liability awards</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SciPlay’s Class A common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SciPlay’s Class A common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94" w:type="dxa"/>
            <w:gridSpan w:val="39"/>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25"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635" w:type="dxa"/>
        <w:jc w:val="center"/>
        <w:tblInd w:w="0" w:type="dxa"/>
        <w:tblLayout w:type="fixed"/>
        <w:tblCellMar>
          <w:top w:w="28" w:type="dxa"/>
          <w:left w:w="28" w:type="dxa"/>
          <w:bottom w:w="28" w:type="dxa"/>
          <w:right w:w="28" w:type="dxa"/>
        </w:tblCellMar>
      </w:tblPr>
      <w:tblGrid>
        <w:gridCol w:w="814"/>
        <w:gridCol w:w="268"/>
        <w:gridCol w:w="269"/>
        <w:gridCol w:w="302"/>
        <w:gridCol w:w="367"/>
        <w:gridCol w:w="157"/>
        <w:gridCol w:w="109"/>
        <w:gridCol w:w="109"/>
        <w:gridCol w:w="109"/>
        <w:gridCol w:w="211"/>
        <w:gridCol w:w="616"/>
        <w:gridCol w:w="109"/>
        <w:gridCol w:w="109"/>
        <w:gridCol w:w="109"/>
        <w:gridCol w:w="109"/>
        <w:gridCol w:w="263"/>
        <w:gridCol w:w="786"/>
        <w:gridCol w:w="137"/>
        <w:gridCol w:w="109"/>
        <w:gridCol w:w="109"/>
        <w:gridCol w:w="109"/>
        <w:gridCol w:w="211"/>
        <w:gridCol w:w="491"/>
        <w:gridCol w:w="109"/>
        <w:gridCol w:w="109"/>
        <w:gridCol w:w="109"/>
        <w:gridCol w:w="109"/>
        <w:gridCol w:w="344"/>
        <w:gridCol w:w="784"/>
        <w:gridCol w:w="178"/>
        <w:gridCol w:w="109"/>
        <w:gridCol w:w="109"/>
        <w:gridCol w:w="109"/>
        <w:gridCol w:w="338"/>
        <w:gridCol w:w="747"/>
        <w:gridCol w:w="176"/>
        <w:gridCol w:w="109"/>
        <w:gridCol w:w="109"/>
        <w:gridCol w:w="109"/>
        <w:gridCol w:w="211"/>
        <w:gridCol w:w="63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 (Accumulated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January 1, 2022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liability awards</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 net of tax withholdings and other</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SciPlay’s Class A common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comprehensive loss</w:t>
            </w:r>
            <w:r>
              <w:rPr>
                <w:rFonts w:ascii="Times New Roman;sans-serif" w:hAnsi="Times New Roman;sans-serif"/>
                <w:b w:val="false"/>
                <w:color w:val="000000"/>
                <w:sz w:val="13"/>
              </w:rPr>
              <w:t>(1)</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5" w:type="dxa"/>
            <w:gridSpan w:val="4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Includes reclassification of $23 million accumulated other comprehensive loss into income due to the sale of discontinued operations (see Note 2).</w:t>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reflects total stock-based compensation expense recognized under all programs:</w:t>
      </w:r>
    </w:p>
    <w:tbl>
      <w:tblPr>
        <w:tblW w:w="10205" w:type="dxa"/>
        <w:jc w:val="center"/>
        <w:tblInd w:w="0" w:type="dxa"/>
        <w:tblLayout w:type="fixed"/>
        <w:tblCellMar>
          <w:top w:w="28" w:type="dxa"/>
          <w:left w:w="28" w:type="dxa"/>
          <w:bottom w:w="28" w:type="dxa"/>
          <w:right w:w="28" w:type="dxa"/>
        </w:tblCellMar>
      </w:tblPr>
      <w:tblGrid>
        <w:gridCol w:w="1107"/>
        <w:gridCol w:w="972"/>
        <w:gridCol w:w="976"/>
        <w:gridCol w:w="413"/>
        <w:gridCol w:w="796"/>
        <w:gridCol w:w="213"/>
        <w:gridCol w:w="213"/>
        <w:gridCol w:w="213"/>
        <w:gridCol w:w="213"/>
        <w:gridCol w:w="413"/>
        <w:gridCol w:w="708"/>
        <w:gridCol w:w="213"/>
        <w:gridCol w:w="167"/>
        <w:gridCol w:w="167"/>
        <w:gridCol w:w="167"/>
        <w:gridCol w:w="385"/>
        <w:gridCol w:w="742"/>
        <w:gridCol w:w="198"/>
        <w:gridCol w:w="198"/>
        <w:gridCol w:w="198"/>
        <w:gridCol w:w="198"/>
        <w:gridCol w:w="385"/>
        <w:gridCol w:w="660"/>
        <w:gridCol w:w="290"/>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to L&amp;W stock options</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to L&amp;W RSUs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to SciPlay RSUs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w:t>
            </w:r>
            <w:r>
              <w:rPr>
                <w:rFonts w:ascii="Times New Roman;sans-serif" w:hAnsi="Times New Roman;sans-serif"/>
                <w:b w:val="false"/>
                <w:color w:val="000000"/>
                <w:sz w:val="13"/>
              </w:rPr>
              <w:t>(1)</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Includes $15 million and $26 million classified as liability awards for the three and six months ended June 30, 2023, respectively, and $6 million and $10 million for the three and six months ended June 30, 2022, respectively.</w:t>
            </w:r>
          </w:p>
        </w:tc>
      </w:tr>
      <w:tr>
        <w:trPr/>
        <w:tc>
          <w:tcPr>
            <w:tcW w:w="3055"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055" w:type="dxa"/>
            <w:gridSpan w:val="3"/>
            <w:tcBorders/>
            <w:vAlign w:val="center"/>
          </w:tcPr>
          <w:p>
            <w:pPr>
              <w:pStyle w:val="TableContents"/>
              <w:bidi w:val="0"/>
              <w:spacing w:before="0" w:after="283"/>
              <w:jc w:val="left"/>
              <w:rPr>
                <w:sz w:val="4"/>
                <w:szCs w:val="4"/>
              </w:rPr>
            </w:pPr>
            <w:r>
              <w:rPr>
                <w:sz w:val="4"/>
                <w:szCs w:val="4"/>
              </w:rPr>
            </w:r>
          </w:p>
        </w:tc>
        <w:tc>
          <w:tcPr>
            <w:tcW w:w="7150" w:type="dxa"/>
            <w:gridSpan w:val="21"/>
            <w:tcBorders/>
          </w:tcPr>
          <w:p>
            <w:pPr>
              <w:pStyle w:val="TableContents"/>
              <w:bidi w:val="0"/>
              <w:spacing w:before="0" w:after="283"/>
              <w:jc w:val="left"/>
              <w:rPr>
                <w:sz w:val="4"/>
                <w:szCs w:val="4"/>
              </w:rPr>
            </w:pPr>
            <w:r>
              <w:rPr>
                <w:sz w:val="4"/>
                <w:szCs w:val="4"/>
              </w:rPr>
            </w:r>
          </w:p>
        </w:tc>
      </w:tr>
      <w:tr>
        <w:trPr/>
        <w:tc>
          <w:tcPr>
            <w:tcW w:w="3055" w:type="dxa"/>
            <w:gridSpan w:val="3"/>
            <w:tcBorders/>
            <w:vAlign w:val="center"/>
          </w:tcPr>
          <w:p>
            <w:pPr>
              <w:pStyle w:val="TableContents"/>
              <w:bidi w:val="0"/>
              <w:spacing w:before="0" w:after="283"/>
              <w:jc w:val="left"/>
              <w:rPr>
                <w:sz w:val="4"/>
                <w:szCs w:val="4"/>
              </w:rPr>
            </w:pPr>
            <w:r>
              <w:rPr>
                <w:sz w:val="4"/>
                <w:szCs w:val="4"/>
              </w:rPr>
            </w:r>
          </w:p>
        </w:tc>
        <w:tc>
          <w:tcPr>
            <w:tcW w:w="7150"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changes in RSUs outstanding under our equity-based compensation plans during the six months ended June 30, 2023 is presented below:</w:t>
      </w:r>
    </w:p>
    <w:tbl>
      <w:tblPr>
        <w:tblW w:w="9791" w:type="dxa"/>
        <w:jc w:val="center"/>
        <w:tblInd w:w="0" w:type="dxa"/>
        <w:tblLayout w:type="fixed"/>
        <w:tblCellMar>
          <w:top w:w="28" w:type="dxa"/>
          <w:left w:w="28" w:type="dxa"/>
          <w:bottom w:w="28" w:type="dxa"/>
          <w:right w:w="28" w:type="dxa"/>
        </w:tblCellMar>
      </w:tblPr>
      <w:tblGrid>
        <w:gridCol w:w="1239"/>
        <w:gridCol w:w="1089"/>
        <w:gridCol w:w="1092"/>
        <w:gridCol w:w="904"/>
        <w:gridCol w:w="904"/>
        <w:gridCol w:w="907"/>
        <w:gridCol w:w="109"/>
        <w:gridCol w:w="109"/>
        <w:gridCol w:w="109"/>
        <w:gridCol w:w="716"/>
        <w:gridCol w:w="2091"/>
        <w:gridCol w:w="522"/>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as of December 31, 2022</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as of June 30, 2023</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53.56 </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RSUs granted during the six months ended June 30, 2023 and 2022 was $57.15 and $58.30, respectively. The fair value of each RSU grant is based on the market value of our common stock at the time of grant. As of June 30, 2023, we had $69 million in total unrecognized stock-based compensation expense relating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26"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 that will be amortized over a weighted-average period of approximately two years. The fair value at vesting date of RSUs vested during the six months ended June 30, 2023 and 2022 was $51 million and $62 million, respectively.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A Junior Participating Preferred Stock and Rights Agreement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2018 Amended and Restated Rights Agreement, as described in Note 17 of our 2022 10-K, expired on June 19, 2023. Immediately prior to its expiration, no shares of Series A Junior Participating Preferred Stock were outstanding and no preferred share purchase rights had been exercised. At the time of the expiration of the agreement, the preferred share purchase rights expired and are no longer outstanding.</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2022, our Board of Directors approved a share repurchase program under which we are authorized to repurchase, from time to time through February 25, 2025, up to an aggregate amount of $750 million of our outstanding common stock. During the six months ended June 30, 2023, we repurchased 0.6 million shares of common stock under the program at an aggregate cost of $33 million.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9, 2022, SciPlay’s Board of Directors approved a share repurchase program under which it is authorized to repurchase, from time to time through May 9, 2024, up to an aggregate amount of $60 million of its outstanding Class A common stock. On May 3, 2023, SciPlay’s Board of Directors approved another share repurchase program under which it is authorized to repurchase, from time to time through May 3, 2024, up to an aggregate amount of $60 million of its outstanding Class A common stock. During the six months ended June 30, 2023, SciPlay repurchased 1.4 million shares of Class A common stock under the programs at an aggregate cost of $23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as of June 30, 2023.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expense (including discrete items) was $15 million and $14 million for the three and six months ended June 30, 2023, respectively, and $1 million and $4 million for the three and six months ended June 30, 2022, respectively. In 2023, our effective tax rate differs from the U.S. statutory rate of 21% primarily as a result of certain non-deductible items including foreign exchange losses, partially mitigated by tax benefits from internal restructuring transactions in the first quarter of 2023. In all periods, we recorded tax expense relative to pre-tax earnings in jurisdictions without valuation allowances, including our 17% noncontrolling interest in SciPlay.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operating lease expense for the three and six months ended June 30, 2023 was $5 million and $11 million, respectively, and $4 million and $10 million for the three and six months ended June 30, 2022, respectively. The total amount of variable and short-term lease payments was immaterial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27"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and cash flow information related to operating leases is as follows:</w:t>
      </w:r>
    </w:p>
    <w:tbl>
      <w:tblPr>
        <w:tblW w:w="9152" w:type="dxa"/>
        <w:jc w:val="center"/>
        <w:tblInd w:w="0" w:type="dxa"/>
        <w:tblLayout w:type="fixed"/>
        <w:tblCellMar>
          <w:top w:w="28" w:type="dxa"/>
          <w:left w:w="28" w:type="dxa"/>
          <w:bottom w:w="28" w:type="dxa"/>
          <w:right w:w="28" w:type="dxa"/>
        </w:tblCellMar>
      </w:tblPr>
      <w:tblGrid>
        <w:gridCol w:w="2124"/>
        <w:gridCol w:w="1865"/>
        <w:gridCol w:w="1875"/>
        <w:gridCol w:w="274"/>
        <w:gridCol w:w="528"/>
        <w:gridCol w:w="352"/>
        <w:gridCol w:w="109"/>
        <w:gridCol w:w="109"/>
        <w:gridCol w:w="109"/>
        <w:gridCol w:w="386"/>
        <w:gridCol w:w="660"/>
        <w:gridCol w:w="498"/>
        <w:gridCol w:w="109"/>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units in years</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5"/>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maturities:</w:t>
      </w:r>
    </w:p>
    <w:tbl>
      <w:tblPr>
        <w:tblW w:w="10205" w:type="dxa"/>
        <w:jc w:val="center"/>
        <w:tblInd w:w="0" w:type="dxa"/>
        <w:tblLayout w:type="fixed"/>
        <w:tblCellMar>
          <w:top w:w="28" w:type="dxa"/>
          <w:left w:w="28" w:type="dxa"/>
          <w:bottom w:w="28" w:type="dxa"/>
          <w:right w:w="28" w:type="dxa"/>
        </w:tblCellMar>
      </w:tblPr>
      <w:tblGrid>
        <w:gridCol w:w="432"/>
        <w:gridCol w:w="379"/>
        <w:gridCol w:w="382"/>
        <w:gridCol w:w="462"/>
        <w:gridCol w:w="561"/>
        <w:gridCol w:w="238"/>
        <w:gridCol w:w="109"/>
        <w:gridCol w:w="109"/>
        <w:gridCol w:w="109"/>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211"/>
        <w:gridCol w:w="256"/>
        <w:gridCol w:w="109"/>
        <w:gridCol w:w="109"/>
        <w:gridCol w:w="109"/>
        <w:gridCol w:w="109"/>
        <w:gridCol w:w="335"/>
        <w:gridCol w:w="407"/>
        <w:gridCol w:w="174"/>
        <w:gridCol w:w="109"/>
        <w:gridCol w:w="109"/>
        <w:gridCol w:w="109"/>
        <w:gridCol w:w="463"/>
        <w:gridCol w:w="596"/>
        <w:gridCol w:w="241"/>
        <w:gridCol w:w="109"/>
        <w:gridCol w:w="109"/>
        <w:gridCol w:w="109"/>
        <w:gridCol w:w="211"/>
        <w:gridCol w:w="361"/>
        <w:gridCol w:w="160"/>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did not have material additional operating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(16) Litigation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which are described below.</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$11 million for all of our legal matters that were contingencies as of June 30, 2023 and December 31, 2022.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herein as well as those related to the previously disclosed settlement agreement entered into in February 2015 with SNAI S.p.a., as to which a loss is reasonably possible, whether in excess of a related accrued liability or where there is no accrued liability, and for which we are able to estimate a 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28"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inaccurate information about the facts underlying a claim; its assumptions about the future rulings of the court or other tribunal on significant issues, or the behavior and incentives of adverse parties, regulators, indemnitors or co</w:t>
        <w:noBreakHyphen/>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Colombia Litigation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$5.0 million if certain levels of lottery sales were not achieved. In addition, LNWI delivered to Ecosalud a $4.0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Columbian Constitutional Court received the record of the constitutional appeal for further consideration.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TCS John Huxley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15, 2019, TCS John Huxley America, Inc., TCS John Huxley Europe Ltd., TCS John Huxley Asia Ltd., and Taiwan Fulgent Enterprise Co., Ltd. brought a civil action in the United States District Court for the Northern District of Illinois against L&amp;W, Bally Technologies, Inc. and LNW Gaming, Inc., f/k/a Bally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29"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the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Discovery closed on June 1, 2023. On June 30, 2023, the defendants filed a motion for summary judgment, which is pending. We are unable at this time to estimate a range of reasonably possible losses above the amount we have accrued for this matter due to the complexity of the plaintiffs’ claims, and the unpredictability of the outcome of the proceedings in the district court, and on any appeal therefrom.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Tonkawa Tribe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 2020, the Tonkawa Tribe of Indians of Oklahoma d/b/a Tonkawa Enterprises filed a putative class action complaint in the United States District Court for the District of Nevada against L&amp;W, Bally Technologies, Inc. and LNW Gaming, Inc.,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 May 19, 2022, the Illinois district court granted defendants’ motion to compel arbitration of plaintiffs’ individual claims; stayed all proceedings in the lawsuit pending resolution of the arbitral process; and accordingly dismissed all pending motions without prejudice as moot. We are currently unable to determine the likelihood of an outcome or estimate a range of reasonably possible losses, if any. We believe that the claims in the lawsuit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Giuliano and Rancho’s Club Casino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4, 2020, Alfred T. Giuliano, as liquidation trustee for RIH Acquisition NJ, LLC d/b/a The Atlantic Club Casino Hotel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L&amp;W, Bally Technologies, Inc. and LNW Gaming, Inc.,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0"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On June 10, 2022, plaintiff Alfred T. Giuliano filed a notice of voluntary dismissal without prejudice, and the court therefore denied as moot defendants’ motion to lift the stay in an order entered on March 28, 2023. We are currently unable to determine the likelihood of an outcome or estimate a range of reasonably possible losses, if any. We believe that the claims in the consolidated lawsuit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 re Automatic Card Shufflers Litigation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We are currently unable to determine the likelihood of an outcome or estimate a range of reasonably possible losses, if any. We believe that the claims in the lawsuit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Mohawk Gaming Enterprises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Boorn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15, 2022, plaintiff Hannelore Boorn filed a putative class action against L&amp;W, SciPlay Corporation, and Appchi Media Ltd. in the Fayette Circuit Court of the Commonwealth of Kentucky. In her complaint, plaintiff seeks to represent a putative class of all persons in Kentucky who, within the past five years, purchased and allegedly lost $5.00 or more worth of chips, in a 24-hour period, playing SciPlay’s online social casino games. The complaint asserts claims for alleged violations of Kentucky’s “recovery of gambling losses” statute and for unjust enrichment, and seeks unspecified money damages, the award of reasonable attorneys’ fees and costs, pre- and post-judgment interest, and injunctive and/or other declaratory relief. On October 18, 2022, defendants removed the action to the United States District Court for the Eastern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31"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District of Kentucky. On October 26, 2022, the plaintiff filed a notice voluntarily dismissing the lawsuit without prejudice. On October 27, 2022, the district court entered an order dismissing the lawsuit. On November 17, 2022, the plaintiff filed an arbitration demand against defendants before the American Arbitration Association, pursuant to which she seeks declaratory judgments that (1) SciPlay’s online social casino games constitute gambling under Kentucky law, and (2) SciPlay’s terms of service are void under Kentucky law. On January 12, 2023, the respondents filed their answering statement to plaintiff’s arbitration demand.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Allah Beautiful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19, 2022, claimant Prince Imanifest Allah Beautiful filed an arbitration demand against respondent SciPlay Corporation before the American Arbitration Association. The complaint asserts claims for alleged violations of New Jersey’s anti-gambling statutes and seeks unspecified money damages, including recovery of monies allegedly lost by New Jersey players of SciPlay’s online social casino games other than the claimant. On March 7, 2023, the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Sprinkle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12, 2022, claimant Matthew Sprinkle filed an arbitration demand against respondent SciPlay Corporation before the American Arbitration Association. The complaint asserts claims for alleged violations of Ohio’s anti-gambling statutes and seeks unspecified money damages, including recovery of monies allegedly lost by Ohio players of SciPlay’s online social casino games other than the claimant. On March 7, 2023, the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Sornberger Matter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We are currently unable to determine the likelihood of an outcome or estimate a range of reasonably possible losses, if any. We believe that the claims in the lawsuit are without merit, and intend to vigorously defend against them.</w:t>
      </w:r>
    </w:p>
    <w:p>
      <w:pPr>
        <w:pStyle w:val="TextBody"/>
        <w:bidi w:val="0"/>
        <w:spacing w:before="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32"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sans-serif" w:hAnsi="Times New Roman;sans-serif"/>
          <w:b w:val="false"/>
          <w:i/>
          <w:color w:val="000000"/>
          <w:sz w:val="20"/>
        </w:rPr>
        <w:t>Part I, Item 1</w:t>
      </w:r>
      <w:r>
        <w:rPr>
          <w:color w:val="000000"/>
        </w:rPr>
        <w:t xml:space="preserve"> “</w:t>
      </w:r>
      <w:r>
        <w:rPr>
          <w:rFonts w:ascii="Times New Roman;sans-serif" w:hAnsi="Times New Roman;sans-serif"/>
          <w:b w:val="false"/>
          <w:color w:val="000000"/>
          <w:sz w:val="20"/>
        </w:rPr>
        <w:t xml:space="preserve">Condensed Consolidated Financial Statements” and </w:t>
      </w:r>
      <w:r>
        <w:rPr>
          <w:rFonts w:ascii="Times New Roman;sans-serif" w:hAnsi="Times New Roman;sans-serif"/>
          <w:b w:val="false"/>
          <w:i/>
          <w:color w:val="000000"/>
          <w:sz w:val="20"/>
        </w:rPr>
        <w:t>Part II, Item 1A</w:t>
      </w:r>
      <w:r>
        <w:rPr>
          <w:color w:val="000000"/>
        </w:rPr>
        <w:t xml:space="preserve"> “</w:t>
      </w:r>
      <w:r>
        <w:rPr>
          <w:rFonts w:ascii="Times New Roman;sans-serif" w:hAnsi="Times New Roman;sans-serif"/>
          <w:b w:val="false"/>
          <w:color w:val="000000"/>
          <w:sz w:val="20"/>
        </w:rPr>
        <w:t xml:space="preserve">Risk Factors” in this Quarterly Report on Form 10-Q and under </w:t>
      </w:r>
      <w:r>
        <w:rPr>
          <w:rFonts w:ascii="Times New Roman;sans-serif" w:hAnsi="Times New Roman;sans-serif"/>
          <w:b w:val="false"/>
          <w:i/>
          <w:color w:val="000000"/>
          <w:sz w:val="20"/>
        </w:rPr>
        <w:t>Part I, Item 1</w:t>
      </w:r>
      <w:r>
        <w:rPr>
          <w:color w:val="000000"/>
        </w:rPr>
        <w:t xml:space="preserve"> “</w:t>
      </w:r>
      <w:r>
        <w:rPr>
          <w:rFonts w:ascii="Times New Roman;sans-serif" w:hAnsi="Times New Roman;sans-serif"/>
          <w:b w:val="false"/>
          <w:color w:val="000000"/>
          <w:sz w:val="20"/>
        </w:rPr>
        <w:t xml:space="preserve">Business,” </w:t>
      </w:r>
      <w:r>
        <w:rPr>
          <w:rFonts w:ascii="Times New Roman;sans-serif" w:hAnsi="Times New Roman;sans-serif"/>
          <w:b w:val="false"/>
          <w:i/>
          <w:color w:val="000000"/>
          <w:sz w:val="20"/>
        </w:rPr>
        <w:t>Item 1A</w:t>
      </w:r>
      <w:r>
        <w:rPr>
          <w:color w:val="000000"/>
        </w:rPr>
        <w:t xml:space="preserve"> “</w:t>
      </w:r>
      <w:r>
        <w:rPr>
          <w:rFonts w:ascii="Times New Roman;sans-serif" w:hAnsi="Times New Roman;sans-serif"/>
          <w:b w:val="false"/>
          <w:color w:val="000000"/>
          <w:sz w:val="20"/>
        </w:rPr>
        <w:t xml:space="preserve">Risk Factors” and </w:t>
      </w:r>
      <w:r>
        <w:rPr>
          <w:rFonts w:ascii="Times New Roman;sans-serif" w:hAnsi="Times New Roman;sans-serif"/>
          <w:b w:val="false"/>
          <w:i/>
          <w:color w:val="000000"/>
          <w:sz w:val="20"/>
        </w:rPr>
        <w:t>Part II, Item 7</w:t>
      </w:r>
      <w:r>
        <w:rPr>
          <w:color w:val="000000"/>
        </w:rPr>
        <w:t xml:space="preserve"> “</w:t>
      </w:r>
      <w:r>
        <w:rPr>
          <w:rFonts w:ascii="Times New Roman;sans-serif" w:hAnsi="Times New Roman;sans-serif"/>
          <w:b w:val="false"/>
          <w:color w:val="000000"/>
          <w:sz w:val="20"/>
        </w:rPr>
        <w:t>Management’s Discussion and Analysis of Financial Condition and Results of Operations” included in our 2022 10-K.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2022 10-K. As used in this MD&amp;A, the terms “we,” “us,” “our” and the “Company” mean L&amp;W together with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As more fully described in </w:t>
      </w:r>
      <w:r>
        <w:rPr>
          <w:rFonts w:ascii="Times New Roman;sans-serif" w:hAnsi="Times New Roman;sans-serif"/>
          <w:b w:val="false"/>
          <w:i/>
          <w:color w:val="000000"/>
          <w:sz w:val="20"/>
        </w:rPr>
        <w:t>Part I, Item 1</w:t>
      </w:r>
      <w:r>
        <w:rPr>
          <w:color w:val="000000"/>
        </w:rPr>
        <w:t xml:space="preserve"> “</w:t>
      </w:r>
      <w:r>
        <w:rPr>
          <w:rFonts w:ascii="Times New Roman;sans-serif" w:hAnsi="Times New Roman;sans-serif"/>
          <w:b w:val="false"/>
          <w:color w:val="000000"/>
          <w:sz w:val="20"/>
        </w:rPr>
        <w:t>Business” in our 2022 10-K, we are executing on our s</w:t>
      </w:r>
      <w:r>
        <w:rPr>
          <w:rFonts w:ascii="Times New Roman;sans-serif" w:hAnsi="Times New Roman;sans-serif"/>
          <w:b w:val="false"/>
          <w:color w:val="000000"/>
          <w:sz w:val="20"/>
          <w:shd w:fill="FFFFFF" w:val="clear"/>
        </w:rPr>
        <w:t xml:space="preserve">trategy to become a leading cross-platform global games company with a focus on content and digital markets. </w:t>
      </w:r>
      <w:r>
        <w:rPr>
          <w:rFonts w:ascii="Times New Roman;sans-serif" w:hAnsi="Times New Roman;sans-serif"/>
          <w:b w:val="false"/>
          <w:color w:val="000000"/>
          <w:sz w:val="20"/>
        </w:rPr>
        <w:t>We report our results of operations in three business segments—Gaming, SciPlay and iGaming—representing our different products and services. See “Business Segments Results” below and Note 4 for additional business segment information.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existing primary Nasdaq listing, our common stock is listed as CDIs on the ASX and commenced active trading on May 22, 2023 (AEST) under the ticker symbol “LNW.” We believe this secondary listing will create substantial benefits for L&amp;W and its shareholders, including enhancing the Company’s profile in Australia, one of the leading markets for the L&amp;W’s Gaming business, and providing the Company access to new long-term Australian institutional investors that complement our strong existing base of shareholders.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 on August 8, 2023, we entered into a definitive agreement to acquire the remaining equity interest in SciPlay not already owned by us (approximately 17%) pursuant to a merger in which SciPlay’s shareholders will receive $22.95 for each share of SciPlay Class A common stock they own (subject to certain exceptions set forth in the Merger Agreement) in an all-cash transaction (valued at approximately $500 million subject to the total count of outstanding SciPlay Class A shares at closing). Following the execution of the Merger Agreement, the wholly owned subsidiary of L&amp;W holding approximately 98% of the voting power of the outstanding shares of SciPlay common stock delivered to SciPlay a written consent approving the Merger Agreement and the SciPlay Acquisition. No further approval of the stockholders of SciPlay is required to approve the Merger Agreement and the SciPlay Acquisition. This transaction is expected to close during the fourth quarter of 2023, subject to customary closing conditions. As a result of the SciPlay Acquisition, SciPlay will cease to be publicly traded and will become a wholly owned subsidiary of L&amp;W.</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contains certain termination rights for SciPlay and L&amp;W, including the right of either party to terminate the Merger Agreement if the SciPlay Acquisition is not consummated on or before February 8, 2024.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this transaction will enable seamless collaboration with SciPlay that will add further momentum to our already robust cross-platform strategy, provide flexibility for use of SciPlay cash flows for investments across the enterprise, and facilitate long-term margin enhancement opportunities via synergies, all of which are expected to increase shareholder value.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have substantially recovered from the impacts of the COVID-19 pandemic in 2020 and 2021; however, lingering impacts on supply chains in numerous industries have caused shortages of inputs/outputs, which in turn put inflationary pressures on the economy as a whole. Inflationary pressures may have an impact on discretionary income as people allocate more of their disposable income toward higher priced necessity goods and services, which could impact our customers. These circumstances may change in the future and such changes could be material.</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We continued in 2023 with strong momentum and delivered a 9</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consecutive quarter of consolidated revenue growth year-over-year, continuing advancement toward our long-term financial targets. Consolidated revenue growth was driven by double-digit growth across all of our businesses, including another quarter of record revenues for SciPlay and iGaming.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33"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CONSOLIDATED RESULTS</w:t>
      </w:r>
    </w:p>
    <w:tbl>
      <w:tblPr>
        <w:tblW w:w="10205" w:type="dxa"/>
        <w:jc w:val="center"/>
        <w:tblInd w:w="0" w:type="dxa"/>
        <w:tblLayout w:type="fixed"/>
        <w:tblCellMar>
          <w:top w:w="28" w:type="dxa"/>
          <w:left w:w="28" w:type="dxa"/>
          <w:bottom w:w="28" w:type="dxa"/>
          <w:right w:w="28" w:type="dxa"/>
        </w:tblCellMar>
      </w:tblPr>
      <w:tblGrid>
        <w:gridCol w:w="782"/>
        <w:gridCol w:w="297"/>
        <w:gridCol w:w="29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32"/>
        <w:gridCol w:w="234"/>
        <w:gridCol w:w="271"/>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32"/>
        <w:gridCol w:w="234"/>
        <w:gridCol w:w="319"/>
      </w:tblGrid>
      <w:tr>
        <w:trPr/>
        <w:tc>
          <w:tcPr>
            <w:tcW w:w="7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 before 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income from discontinued operations, net of tax</w:t>
            </w:r>
            <w:r>
              <w:rPr>
                <w:rFonts w:ascii="Times New Roman;sans-serif" w:hAnsi="Times New Roman;sans-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L&amp;W</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three and six months ended June 30, 2022 include a pre-tax gain of $4,568 million on the sale of the former Lottery Business (see Note 2).</w:t>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9100" w:type="dxa"/>
        <w:jc w:val="center"/>
        <w:tblInd w:w="0" w:type="dxa"/>
        <w:tblLayout w:type="fixed"/>
        <w:tblCellMar>
          <w:top w:w="28" w:type="dxa"/>
          <w:left w:w="28" w:type="dxa"/>
          <w:bottom w:w="28" w:type="dxa"/>
          <w:right w:w="28" w:type="dxa"/>
        </w:tblCellMar>
      </w:tblPr>
      <w:tblGrid>
        <w:gridCol w:w="1428"/>
        <w:gridCol w:w="1251"/>
        <w:gridCol w:w="1251"/>
        <w:gridCol w:w="411"/>
        <w:gridCol w:w="411"/>
        <w:gridCol w:w="411"/>
        <w:gridCol w:w="1206"/>
        <w:gridCol w:w="1206"/>
        <w:gridCol w:w="1262"/>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Revenue by Business Segment</w:t>
            </w:r>
          </w:p>
        </w:tc>
        <w:tc>
          <w:tcPr>
            <w:tcW w:w="263" w:type="dxa"/>
            <w:gridSpan w:val="2"/>
            <w:tcBorders/>
          </w:tcPr>
          <w:p>
            <w:pPr>
              <w:pStyle w:val="TableContents"/>
              <w:bidi w:val="0"/>
              <w:spacing w:before="0" w:after="283"/>
              <w:jc w:val="left"/>
              <w:rPr>
                <w:sz w:val="4"/>
                <w:szCs w:val="4"/>
              </w:rPr>
            </w:pPr>
            <w:r>
              <w:rPr>
                <w:sz w:val="4"/>
                <w:szCs w:val="4"/>
              </w:rPr>
            </w:r>
          </w:p>
        </w:tc>
      </w:tr>
      <w:tr>
        <w:trPr/>
        <w:tc>
          <w:tcPr>
            <w:tcW w:w="8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 and 2022</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June 30, 2023 and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drawing>
          <wp:inline distT="0" distB="0" distL="0" distR="0">
            <wp:extent cx="3238500" cy="1905000"/>
            <wp:effectExtent l="0" t="0" r="0" b="0"/>
            <wp:docPr id="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pic:cNvPicPr>
                      <a:picLocks noChangeAspect="1" noChangeArrowheads="1"/>
                    </pic:cNvPicPr>
                  </pic:nvPicPr>
                  <pic:blipFill>
                    <a:blip r:embed="rId5"/>
                    <a:stretch>
                      <a:fillRect/>
                    </a:stretch>
                  </pic:blipFill>
                  <pic:spPr bwMode="auto">
                    <a:xfrm>
                      <a:off x="0" y="0"/>
                      <a:ext cx="3238500" cy="1905000"/>
                    </a:xfrm>
                    <a:prstGeom prst="rect">
                      <a:avLst/>
                    </a:prstGeom>
                  </pic:spPr>
                </pic:pic>
              </a:graphicData>
            </a:graphic>
          </wp:inline>
        </w:drawing>
      </w:r>
      <w:r>
        <w:rPr/>
        <w:drawing>
          <wp:inline distT="0" distB="0" distL="0" distR="0">
            <wp:extent cx="3238500" cy="1905000"/>
            <wp:effectExtent l="0" t="0" r="0" b="0"/>
            <wp:docPr id="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5" descr=""/>
                    <pic:cNvPicPr>
                      <a:picLocks noChangeAspect="1" noChangeArrowheads="1"/>
                    </pic:cNvPicPr>
                  </pic:nvPicPr>
                  <pic:blipFill>
                    <a:blip r:embed="rId6"/>
                    <a:stretch>
                      <a:fillRect/>
                    </a:stretch>
                  </pic:blipFill>
                  <pic:spPr bwMode="auto">
                    <a:xfrm>
                      <a:off x="0" y="0"/>
                      <a:ext cx="3238500" cy="1905000"/>
                    </a:xfrm>
                    <a:prstGeom prst="rect">
                      <a:avLst/>
                    </a:prstGeom>
                  </pic:spPr>
                </pic:pic>
              </a:graphicData>
            </a:graphic>
          </wp:inline>
        </w:drawing>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Gaming revenue growth of 21% and 19% for the three and six months ended June 30, 2023, respectively, was driven by continued momentum in global Gaming machine sales, stronger performance in our U.S. and Canada premium install base, and increased demand for Systems and Table products.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SciPlay revenue increased 19% and 18% for the three and six months ended June 30, 2023, respectively, as social casino payer engagement and average monthly paying users increased for both periods. Average monthly revenue per paying user reached a new record high for the three months ended June 30, 2023.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iGaming revenue of 17% and 12% for the three and six months ended June 30, 2023, respectively, was primarily driven by growth in the U.S. from the strength of our original content and increased player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36"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bl>
      <w:tblPr>
        <w:tblW w:w="10205" w:type="dxa"/>
        <w:jc w:val="center"/>
        <w:tblInd w:w="0" w:type="dxa"/>
        <w:tblLayout w:type="fixed"/>
        <w:tblCellMar>
          <w:top w:w="28" w:type="dxa"/>
          <w:left w:w="28" w:type="dxa"/>
          <w:bottom w:w="28" w:type="dxa"/>
          <w:right w:w="28" w:type="dxa"/>
        </w:tblCellMar>
      </w:tblPr>
      <w:tblGrid>
        <w:gridCol w:w="783"/>
        <w:gridCol w:w="548"/>
        <w:gridCol w:w="410"/>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192"/>
        <w:gridCol w:w="194"/>
        <w:gridCol w:w="271"/>
        <w:gridCol w:w="109"/>
        <w:gridCol w:w="109"/>
        <w:gridCol w:w="109"/>
        <w:gridCol w:w="211"/>
        <w:gridCol w:w="617"/>
        <w:gridCol w:w="109"/>
        <w:gridCol w:w="109"/>
        <w:gridCol w:w="109"/>
        <w:gridCol w:w="109"/>
        <w:gridCol w:w="211"/>
        <w:gridCol w:w="617"/>
        <w:gridCol w:w="109"/>
        <w:gridCol w:w="109"/>
        <w:gridCol w:w="109"/>
        <w:gridCol w:w="109"/>
        <w:gridCol w:w="211"/>
        <w:gridCol w:w="361"/>
        <w:gridCol w:w="109"/>
        <w:gridCol w:w="109"/>
        <w:gridCol w:w="109"/>
        <w:gridCol w:w="109"/>
        <w:gridCol w:w="192"/>
        <w:gridCol w:w="194"/>
        <w:gridCol w:w="324"/>
      </w:tblGrid>
      <w:tr>
        <w:trPr/>
        <w:tc>
          <w:tcPr>
            <w:tcW w:w="78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0"/>
              <w:jc w:val="center"/>
              <w:rPr/>
            </w:pPr>
            <w:r>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64" w:type="dxa"/>
            <w:gridSpan w:val="45"/>
            <w:tcBorders/>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64" w:type="dxa"/>
            <w:gridSpan w:val="45"/>
            <w:tcBorders/>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8464" w:type="dxa"/>
            <w:gridSpan w:val="4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 for the three and six months ended June 30, 2023 increased as a direct result of higher revenue as described above, driven by $20 million and $42 million, respectively, in higher cost of product revenue primarily associated with higher gaming machine sales and $10 million and $20 million, respectively, in higher cost of services for our SciPlay business segment.</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SG&amp;A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increased for the three and six months ended June 30, 2023 as compared to the prior year periods, primarily due to higher stock-based compensation expense of $11 million and $22 million, respectively, higher legal expenses and professional fees of $7 million and $10 million, respectively, and higher salaries and benefits in our SciPlay segment of $4 million and $7 million, respectively.</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R&amp;D</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increased slightly for both periods, primarily due to higher salaries and benefits in our Gaming and SciPlay segments, partially offset by lower professional services expenses.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D&amp;A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D&amp;A remained relatively flat for the three months ended June 30, 2023, as the effects of fully depreciated assets and amortization of intangible assets related to past acquisitions, primarily associated with our Gaming segment, were mostly offset by increases from acquisitions during 2022 and an impairment charge of $5 million related to SciPlay restructuring of a certain foreign studio. For the six months ended June 30, 2023, D&amp;A decreased primarily due to fully depreciated assets and amortization of intangible assets related to past acquisitions, partially offset by the other drivers described for the three months ended June 30, 2023.</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and Other</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restructuring and other for the three and six months ended June 30, 2023, as compared to the prior year periods, was primarily due to lower professional services, legal and other costs related to the strategic review and related transactions (see Note 5). The three and six months ended June 30, 2023 included $7 million in professional services associated with the ASX listing, and the six months ended June 30, 2023 and 2022 included contingent consideration remeasurement charges of $9 million and $12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37"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Factors Affecting Net Income (Loss) Attributable to L&amp;W</w:t>
      </w:r>
    </w:p>
    <w:tbl>
      <w:tblPr>
        <w:tblW w:w="10205" w:type="dxa"/>
        <w:jc w:val="center"/>
        <w:tblInd w:w="0" w:type="dxa"/>
        <w:tblLayout w:type="fixed"/>
        <w:tblCellMar>
          <w:top w:w="28" w:type="dxa"/>
          <w:left w:w="28" w:type="dxa"/>
          <w:bottom w:w="28" w:type="dxa"/>
          <w:right w:w="28" w:type="dxa"/>
        </w:tblCellMar>
      </w:tblPr>
      <w:tblGrid>
        <w:gridCol w:w="805"/>
        <w:gridCol w:w="424"/>
        <w:gridCol w:w="318"/>
        <w:gridCol w:w="217"/>
        <w:gridCol w:w="396"/>
        <w:gridCol w:w="112"/>
        <w:gridCol w:w="112"/>
        <w:gridCol w:w="112"/>
        <w:gridCol w:w="112"/>
        <w:gridCol w:w="217"/>
        <w:gridCol w:w="396"/>
        <w:gridCol w:w="112"/>
        <w:gridCol w:w="109"/>
        <w:gridCol w:w="109"/>
        <w:gridCol w:w="109"/>
        <w:gridCol w:w="212"/>
        <w:gridCol w:w="491"/>
        <w:gridCol w:w="109"/>
        <w:gridCol w:w="109"/>
        <w:gridCol w:w="109"/>
        <w:gridCol w:w="109"/>
        <w:gridCol w:w="212"/>
        <w:gridCol w:w="491"/>
        <w:gridCol w:w="109"/>
        <w:gridCol w:w="109"/>
        <w:gridCol w:w="109"/>
        <w:gridCol w:w="109"/>
        <w:gridCol w:w="1623"/>
        <w:gridCol w:w="1083"/>
        <w:gridCol w:w="1561"/>
      </w:tblGrid>
      <w:tr>
        <w:trPr/>
        <w:tc>
          <w:tcPr>
            <w:tcW w:w="80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Factors Affecting Net Income (Loss) Attributable to L&amp;W</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in interest expense for the three months ended June 30, 2023 is primarily due to rising interest rates impacting the LNWI Term Loan B. The decrease in interest expense for the six months ended June 30, 2023 is primarily due to lower outstanding debt resulting from the redemption of select senior notes and refinancing through the LNWI Credit Agreement completed in the second quarter of 2022.</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financing transactions consummated during the second quarter of 2022 included a $90 million charge associated with premiums paid to redeem select senior notes (see Note 11).</w:t>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7"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remeasurement of debt and other</w:t>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are attributable to remeasurement of previously held Euro-denominated senior notes and reflect changes in the Euro vs. the U.S. Dollar foreign exchange rates. These notes were redeemed during the second quarter of 2022.</w:t>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in other expense was primarily due to the impact of changes in foreign currency exchange rates.</w:t>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7"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7"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(F/X)</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tbl>
      <w:tblPr>
        <w:tblW w:w="11763" w:type="dxa"/>
        <w:jc w:val="center"/>
        <w:tblInd w:w="0" w:type="dxa"/>
        <w:tblLayout w:type="fixed"/>
        <w:tblCellMar>
          <w:top w:w="28" w:type="dxa"/>
          <w:left w:w="28" w:type="dxa"/>
          <w:bottom w:w="28" w:type="dxa"/>
          <w:right w:w="28" w:type="dxa"/>
        </w:tblCellMar>
      </w:tblPr>
      <w:tblGrid>
        <w:gridCol w:w="501"/>
        <w:gridCol w:w="229"/>
        <w:gridCol w:w="231"/>
        <w:gridCol w:w="237"/>
        <w:gridCol w:w="406"/>
        <w:gridCol w:w="123"/>
        <w:gridCol w:w="109"/>
        <w:gridCol w:w="109"/>
        <w:gridCol w:w="109"/>
        <w:gridCol w:w="301"/>
        <w:gridCol w:w="301"/>
        <w:gridCol w:w="749"/>
        <w:gridCol w:w="109"/>
        <w:gridCol w:w="109"/>
        <w:gridCol w:w="109"/>
        <w:gridCol w:w="237"/>
        <w:gridCol w:w="406"/>
        <w:gridCol w:w="123"/>
        <w:gridCol w:w="109"/>
        <w:gridCol w:w="109"/>
        <w:gridCol w:w="109"/>
        <w:gridCol w:w="301"/>
        <w:gridCol w:w="301"/>
        <w:gridCol w:w="749"/>
        <w:gridCol w:w="109"/>
        <w:gridCol w:w="109"/>
        <w:gridCol w:w="109"/>
        <w:gridCol w:w="237"/>
        <w:gridCol w:w="406"/>
        <w:gridCol w:w="123"/>
        <w:gridCol w:w="109"/>
        <w:gridCol w:w="109"/>
        <w:gridCol w:w="109"/>
        <w:gridCol w:w="301"/>
        <w:gridCol w:w="301"/>
        <w:gridCol w:w="749"/>
        <w:gridCol w:w="109"/>
        <w:gridCol w:w="109"/>
        <w:gridCol w:w="109"/>
        <w:gridCol w:w="237"/>
        <w:gridCol w:w="406"/>
        <w:gridCol w:w="123"/>
        <w:gridCol w:w="109"/>
        <w:gridCol w:w="109"/>
        <w:gridCol w:w="109"/>
        <w:gridCol w:w="284"/>
        <w:gridCol w:w="284"/>
        <w:gridCol w:w="828"/>
      </w:tblGrid>
      <w:tr>
        <w:trPr/>
        <w:tc>
          <w:tcPr>
            <w:tcW w:w="5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Consolidated Revenue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Sterling</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pPr>
      <w:r>
        <w:rPr>
          <w:rFonts w:ascii="Times New Roman;sans-serif" w:hAnsi="Times New Roman;sans-serif"/>
          <w:b/>
          <w:color w:val="000000"/>
          <w:sz w:val="20"/>
        </w:rPr>
        <w:t>BUSINESS SEGMENTS RESULTS (</w:t>
      </w:r>
      <w:r>
        <w:rPr>
          <w:rFonts w:ascii="Times New Roman;sans-serif" w:hAnsi="Times New Roman;sans-serif"/>
          <w:b/>
          <w:i/>
          <w:color w:val="000000"/>
          <w:sz w:val="20"/>
        </w:rPr>
        <w:t>for the three and six months ended June 30, 2023 compared to the three and six months ended June 30, 2022)</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GAMING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 </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For additional information, refer to the Gaming primary business activities summary included within “Business Segment Results” under </w:t>
      </w:r>
      <w:r>
        <w:rPr>
          <w:rFonts w:ascii="Times New Roman;sans-serif" w:hAnsi="Times New Roman;sans-serif"/>
          <w:b w:val="false"/>
          <w:i/>
          <w:color w:val="000000"/>
          <w:sz w:val="20"/>
        </w:rPr>
        <w:t>Item 7</w:t>
      </w:r>
      <w:r>
        <w:rPr>
          <w:color w:val="000000"/>
        </w:rPr>
        <w:t xml:space="preserve"> </w:t>
      </w:r>
      <w:r>
        <w:rPr>
          <w:rFonts w:ascii="Times New Roman;sans-serif" w:hAnsi="Times New Roman;sans-serif"/>
          <w:b w:val="false"/>
          <w:color w:val="000000"/>
          <w:sz w:val="20"/>
        </w:rPr>
        <w:t>of our 2022 10-K.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Year Update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see an increase in the demand for our Gaming products and services, and Gaming operations continue to perform above pre-COVID levels. The increase in Gaming revenue for the three and six months ended June 30, 2023,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38"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pPr>
      <w:r>
        <w:rPr>
          <w:rFonts w:ascii="Times New Roman;sans-serif" w:hAnsi="Times New Roman;sans-serif"/>
          <w:b w:val="false"/>
          <w:color w:val="000000"/>
          <w:sz w:val="20"/>
        </w:rPr>
        <w:t xml:space="preserve">compared to the prior year period, was primarily driven by continued momentum in Gaming machine sales growing 41% and 46%, respectively, coupled with growth in Systems and Table products. Gaming operations also benefited from higher average daily revenue per unit and the recent launch of the </w:t>
      </w:r>
      <w:r>
        <w:rPr>
          <w:rFonts w:ascii="Times New Roman;sans-serif" w:hAnsi="Times New Roman;sans-serif"/>
          <w:b w:val="false"/>
          <w:i/>
          <w:color w:val="000000"/>
          <w:sz w:val="20"/>
        </w:rPr>
        <w:t>COSMIC™</w:t>
      </w:r>
      <w:r>
        <w:rPr>
          <w:color w:val="000000"/>
        </w:rPr>
        <w:t xml:space="preserve"> </w:t>
      </w:r>
      <w:r>
        <w:rPr>
          <w:rFonts w:ascii="Times New Roman;sans-serif" w:hAnsi="Times New Roman;sans-serif"/>
          <w:b w:val="false"/>
          <w:color w:val="000000"/>
          <w:sz w:val="20"/>
        </w:rPr>
        <w:t>cabinet. While demand remains strong, we are actively monitoring any impact of inflationary pressures and macroeconomic uncertainty that may impact our operations. We have experienced and continue to expect some level of supply chain volatility that could impact our ability to meet demand for our products and delay the timing of fulfillment and revenue recognition of orders.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 and KPIs</w:t>
      </w:r>
    </w:p>
    <w:tbl>
      <w:tblPr>
        <w:tblW w:w="4649" w:type="dxa"/>
        <w:jc w:val="center"/>
        <w:tblInd w:w="0" w:type="dxa"/>
        <w:tblLayout w:type="fixed"/>
        <w:tblCellMar>
          <w:top w:w="28" w:type="dxa"/>
          <w:left w:w="28" w:type="dxa"/>
          <w:bottom w:w="28" w:type="dxa"/>
          <w:right w:w="28" w:type="dxa"/>
        </w:tblCellMar>
      </w:tblPr>
      <w:tblGrid>
        <w:gridCol w:w="1489"/>
        <w:gridCol w:w="1308"/>
        <w:gridCol w:w="1852"/>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and Six Months Ended June 30, 2023 and 2022</w:t>
            </w:r>
          </w:p>
        </w:tc>
      </w:tr>
    </w:tbl>
    <w:p>
      <w:pPr>
        <w:pStyle w:val="TextBody"/>
        <w:bidi w:val="0"/>
        <w:spacing w:before="0" w:after="160"/>
        <w:jc w:val="center"/>
        <w:rPr/>
      </w:pPr>
      <w:r>
        <w:rPr/>
        <w:drawing>
          <wp:inline distT="0" distB="0" distL="0" distR="0">
            <wp:extent cx="2152650" cy="3105150"/>
            <wp:effectExtent l="0" t="0" r="0" b="0"/>
            <wp:docPr id="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6" descr=""/>
                    <pic:cNvPicPr>
                      <a:picLocks noChangeAspect="1" noChangeArrowheads="1"/>
                    </pic:cNvPicPr>
                  </pic:nvPicPr>
                  <pic:blipFill>
                    <a:blip r:embed="rId7"/>
                    <a:stretch>
                      <a:fillRect/>
                    </a:stretch>
                  </pic:blipFill>
                  <pic:spPr bwMode="auto">
                    <a:xfrm>
                      <a:off x="0" y="0"/>
                      <a:ext cx="2152650" cy="3105150"/>
                    </a:xfrm>
                    <a:prstGeom prst="rect">
                      <a:avLst/>
                    </a:prstGeom>
                  </pic:spPr>
                </pic:pic>
              </a:graphicData>
            </a:graphic>
          </wp:inline>
        </w:drawing>
      </w:r>
      <w:r>
        <w:rPr/>
        <w:drawing>
          <wp:inline distT="0" distB="0" distL="0" distR="0">
            <wp:extent cx="2152650" cy="3105150"/>
            <wp:effectExtent l="0" t="0" r="0" b="0"/>
            <wp:docPr id="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 descr=""/>
                    <pic:cNvPicPr>
                      <a:picLocks noChangeAspect="1" noChangeArrowheads="1"/>
                    </pic:cNvPicPr>
                  </pic:nvPicPr>
                  <pic:blipFill>
                    <a:blip r:embed="rId8"/>
                    <a:stretch>
                      <a:fillRect/>
                    </a:stretch>
                  </pic:blipFill>
                  <pic:spPr bwMode="auto">
                    <a:xfrm>
                      <a:off x="0" y="0"/>
                      <a:ext cx="2152650" cy="3105150"/>
                    </a:xfrm>
                    <a:prstGeom prst="rect">
                      <a:avLst/>
                    </a:prstGeom>
                  </pic:spPr>
                </pic:pic>
              </a:graphicData>
            </a:graphic>
          </wp:inline>
        </w:drawing>
      </w:r>
      <w:r>
        <w:rPr/>
        <w:drawing>
          <wp:inline distT="0" distB="0" distL="0" distR="0">
            <wp:extent cx="2152650" cy="3105150"/>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9"/>
                    <a:stretch>
                      <a:fillRect/>
                    </a:stretch>
                  </pic:blipFill>
                  <pic:spPr bwMode="auto">
                    <a:xfrm>
                      <a:off x="0" y="0"/>
                      <a:ext cx="2152650" cy="31051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2"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60"/>
        <w:jc w:val="left"/>
        <w:rPr/>
      </w:pPr>
      <w:r>
        <w:rPr/>
      </w:r>
    </w:p>
    <w:tbl>
      <w:tblPr>
        <w:tblW w:w="10625" w:type="dxa"/>
        <w:jc w:val="center"/>
        <w:tblInd w:w="0" w:type="dxa"/>
        <w:tblLayout w:type="fixed"/>
        <w:tblCellMar>
          <w:top w:w="28" w:type="dxa"/>
          <w:left w:w="28" w:type="dxa"/>
          <w:bottom w:w="28" w:type="dxa"/>
          <w:right w:w="28" w:type="dxa"/>
        </w:tblCellMar>
      </w:tblPr>
      <w:tblGrid>
        <w:gridCol w:w="618"/>
        <w:gridCol w:w="322"/>
        <w:gridCol w:w="231"/>
        <w:gridCol w:w="211"/>
        <w:gridCol w:w="721"/>
        <w:gridCol w:w="109"/>
        <w:gridCol w:w="109"/>
        <w:gridCol w:w="109"/>
        <w:gridCol w:w="109"/>
        <w:gridCol w:w="211"/>
        <w:gridCol w:w="721"/>
        <w:gridCol w:w="109"/>
        <w:gridCol w:w="109"/>
        <w:gridCol w:w="109"/>
        <w:gridCol w:w="109"/>
        <w:gridCol w:w="211"/>
        <w:gridCol w:w="511"/>
        <w:gridCol w:w="109"/>
        <w:gridCol w:w="109"/>
        <w:gridCol w:w="109"/>
        <w:gridCol w:w="109"/>
        <w:gridCol w:w="187"/>
        <w:gridCol w:w="189"/>
        <w:gridCol w:w="271"/>
        <w:gridCol w:w="109"/>
        <w:gridCol w:w="109"/>
        <w:gridCol w:w="109"/>
        <w:gridCol w:w="211"/>
        <w:gridCol w:w="721"/>
        <w:gridCol w:w="109"/>
        <w:gridCol w:w="109"/>
        <w:gridCol w:w="109"/>
        <w:gridCol w:w="109"/>
        <w:gridCol w:w="211"/>
        <w:gridCol w:w="721"/>
        <w:gridCol w:w="109"/>
        <w:gridCol w:w="109"/>
        <w:gridCol w:w="109"/>
        <w:gridCol w:w="109"/>
        <w:gridCol w:w="211"/>
        <w:gridCol w:w="511"/>
        <w:gridCol w:w="109"/>
        <w:gridCol w:w="109"/>
        <w:gridCol w:w="109"/>
        <w:gridCol w:w="109"/>
        <w:gridCol w:w="187"/>
        <w:gridCol w:w="189"/>
        <w:gridCol w:w="316"/>
      </w:tblGrid>
      <w:tr>
        <w:trPr/>
        <w:tc>
          <w:tcPr>
            <w:tcW w:w="6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Gaming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Machine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Systems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Table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F/X impact 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Gaming KPIs: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 units: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Installed base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revenue per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 units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Installed base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revenue per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machine unit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 new unit shipments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new unit shipments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unit shipments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sales price per new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5"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Excludes the impact of game content licensing revenue.</w:t>
            </w:r>
          </w:p>
        </w:tc>
      </w:tr>
    </w:tbl>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Gaming Operations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Gaming operations revenue for both current year periods demonstrated continued momentum driven by strong game performance of hit franchises, including our premium games. Average daily revenue per unit for U.S. and Canada increased by $1.68 and $2.07 for the three and six months ended June 30, 2023, respectively, and for International units it increased by $1.40 and $1.41, respectively. Gaming operations for U.S. and Canada had a 286-unit decrease in installed base, mainly due to reductions in our public gaming and leased core products, partially offset by growth in our premium games. International ending installed base decreased by 3,637 units primarily due to the expected closure of certain LBOs in the U.K. along with the reduction of certain low-yielding units in Greece and Latin America.</w:t>
      </w:r>
    </w:p>
    <w:p>
      <w:pPr>
        <w:pStyle w:val="TextBody"/>
        <w:bidi w:val="0"/>
        <w:spacing w:lineRule="auto" w:line="288" w:before="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Gaming Machine Sales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Gaming machine sales revenue increased as operator capital spending returned to more normalized levels. The increases for the three and six months ended June 30, 2023, as compared to prior periods, were due to higher sales of replacement units globally of 2,685 and 3,589, respectively, shipments of additional units into international new opening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3"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expansion markets of 195 and 1,606, respectively, and higher average sales price per new unit mainly due to favorable shifts in product mix. The following table summarizes Gaming machine sales changes:</w:t>
      </w:r>
    </w:p>
    <w:tbl>
      <w:tblPr>
        <w:tblW w:w="10205" w:type="dxa"/>
        <w:jc w:val="center"/>
        <w:tblInd w:w="0" w:type="dxa"/>
        <w:tblLayout w:type="fixed"/>
        <w:tblCellMar>
          <w:top w:w="28" w:type="dxa"/>
          <w:left w:w="28" w:type="dxa"/>
          <w:bottom w:w="28" w:type="dxa"/>
          <w:right w:w="28" w:type="dxa"/>
        </w:tblCellMar>
      </w:tblPr>
      <w:tblGrid>
        <w:gridCol w:w="702"/>
        <w:gridCol w:w="455"/>
        <w:gridCol w:w="458"/>
        <w:gridCol w:w="336"/>
        <w:gridCol w:w="280"/>
        <w:gridCol w:w="128"/>
        <w:gridCol w:w="128"/>
        <w:gridCol w:w="128"/>
        <w:gridCol w:w="128"/>
        <w:gridCol w:w="336"/>
        <w:gridCol w:w="280"/>
        <w:gridCol w:w="128"/>
        <w:gridCol w:w="109"/>
        <w:gridCol w:w="109"/>
        <w:gridCol w:w="109"/>
        <w:gridCol w:w="308"/>
        <w:gridCol w:w="308"/>
        <w:gridCol w:w="109"/>
        <w:gridCol w:w="109"/>
        <w:gridCol w:w="109"/>
        <w:gridCol w:w="109"/>
        <w:gridCol w:w="231"/>
        <w:gridCol w:w="235"/>
        <w:gridCol w:w="271"/>
        <w:gridCol w:w="109"/>
        <w:gridCol w:w="109"/>
        <w:gridCol w:w="109"/>
        <w:gridCol w:w="427"/>
        <w:gridCol w:w="202"/>
        <w:gridCol w:w="140"/>
        <w:gridCol w:w="140"/>
        <w:gridCol w:w="140"/>
        <w:gridCol w:w="140"/>
        <w:gridCol w:w="427"/>
        <w:gridCol w:w="202"/>
        <w:gridCol w:w="140"/>
        <w:gridCol w:w="109"/>
        <w:gridCol w:w="109"/>
        <w:gridCol w:w="109"/>
        <w:gridCol w:w="308"/>
        <w:gridCol w:w="308"/>
        <w:gridCol w:w="109"/>
        <w:gridCol w:w="109"/>
        <w:gridCol w:w="109"/>
        <w:gridCol w:w="109"/>
        <w:gridCol w:w="306"/>
        <w:gridCol w:w="310"/>
        <w:gridCol w:w="322"/>
      </w:tblGrid>
      <w:tr>
        <w:trPr/>
        <w:tc>
          <w:tcPr>
            <w:tcW w:w="70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and Canada unit shipments:</w:t>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opening and expansion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 shipments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unit shipments:</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opening and expansion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 shipments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8590" w:type="dxa"/>
            <w:gridSpan w:val="45"/>
            <w:tcBorders/>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8590" w:type="dxa"/>
            <w:gridSpan w:val="4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and AEBITDA</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three and six months ended June 30, 2023 increased by $32 million and $66 million, respectively, as compared to the corresponding prior year periods, primarily due to $23 million and $55 million, respectively, in higher cost of revenue associated with the increase in revenue as described above and $13 million and $20 million, respectively, in higher SG&amp;A and restructuring and other costs, partially offset by lower D&amp;A of $3 million and $9 million, respectively.</w:t>
      </w:r>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as compared to the prior year periods, AEBITDA increased by $54 million and $88 million, respectively, which is primarily related to increased revenue, and AEBITDA as a percentage of revenue (“AEBITDA margin”) increased by 3 and 2 percentage points, respectively, to 49% for both periods. AEBITDA also benefited from a change in the incentive compensation mix from cash to equity awards, resulting in a $2 million and $5 million benefit, respectively, as well as lower legal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SCIPLAY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SciPlay business segment is a leading developer and publisher of digital games on mobile and web platforms. SciPlay operates primarily in the social gaming market, which is characterized by gameplay online or on mobile devices that is social, competitive and self-directed in pace and session length. SciPlay also operates in the hyper-casual space, which is characterized by simpler core loops and more repetitive gameplay than casual games. SciPlay generates a substantial portion of its revenue from in-app purchases in the form of virtual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SciPlay generates additional revenue through advertising arrangements in SciPlay’s hyper-casual games. Players who install SciPlay’s hyper-casual games receive free, unlimited gameplay that requires viewing of periodic in-game advertisements.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SciPlay currently offers a variety of social casino games, including </w:t>
      </w:r>
      <w:r>
        <w:rPr>
          <w:rFonts w:ascii="Times New Roman;sans-serif" w:hAnsi="Times New Roman;sans-serif"/>
          <w:b w:val="false"/>
          <w:i/>
          <w:color w:val="000000"/>
          <w:sz w:val="20"/>
        </w:rPr>
        <w:t>JACKPOT PARTY</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Casino</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GOLD FISH</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Casino</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QUICK HIT</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S</w:t>
      </w:r>
      <w:r>
        <w:rPr>
          <w:rFonts w:ascii="Times New Roman;sans-serif" w:hAnsi="Times New Roman;sans-serif"/>
          <w:b w:val="false"/>
          <w:i/>
          <w:color w:val="000000"/>
          <w:sz w:val="20"/>
        </w:rPr>
        <w:t>lots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88 FORTUNES</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Slots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MONOPOLY Slots,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HOT SHOT CASINO</w:t>
      </w:r>
      <w:r>
        <w:rPr>
          <w:rFonts w:ascii="Times New Roman;sans-serif" w:hAnsi="Times New Roman;sans-serif"/>
          <w:b w:val="false"/>
          <w:i/>
          <w:color w:val="000000"/>
          <w:sz w:val="13"/>
        </w:rPr>
        <w:t>®</w:t>
      </w:r>
      <w:r>
        <w:rPr>
          <w:rFonts w:ascii="Times New Roman;sans-serif" w:hAnsi="Times New Roman;sans-serif"/>
          <w:b w:val="false"/>
          <w:color w:val="000000"/>
          <w:sz w:val="20"/>
        </w:rPr>
        <w:t xml:space="preserve">. Our SciPlay business segment continues to pursue its strategy of expanding into the casual games market. Current casual game titles include </w:t>
      </w:r>
      <w:r>
        <w:rPr>
          <w:rFonts w:ascii="Times New Roman;sans-serif" w:hAnsi="Times New Roman;sans-serif"/>
          <w:b w:val="false"/>
          <w:i/>
          <w:color w:val="000000"/>
          <w:sz w:val="20"/>
        </w:rPr>
        <w:t>BINGO SHOWDOWN</w:t>
      </w:r>
      <w:r>
        <w:rPr>
          <w:rFonts w:ascii="Times New Roman;sans-serif" w:hAnsi="Times New Roman;sans-serif"/>
          <w:b w:val="false"/>
          <w:i/>
          <w:color w:val="000000"/>
          <w:sz w:val="13"/>
        </w:rPr>
        <w:t>®</w:t>
      </w:r>
      <w:r>
        <w:rPr>
          <w:rFonts w:ascii="Times New Roman;sans-serif" w:hAnsi="Times New Roman;sans-serif"/>
          <w:b w:val="false"/>
          <w:i/>
          <w:color w:val="000000"/>
          <w:sz w:val="20"/>
        </w:rPr>
        <w:t xml:space="preserve">, SOLITAIRE PETS™ Adventure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Backgammon Live</w:t>
      </w:r>
      <w:r>
        <w:rPr>
          <w:color w:val="000000"/>
        </w:rPr>
        <w:t xml:space="preserve"> </w:t>
      </w:r>
      <w:r>
        <w:rPr>
          <w:rFonts w:ascii="Times New Roman;sans-serif" w:hAnsi="Times New Roman;sans-serif"/>
          <w:b w:val="false"/>
          <w:color w:val="000000"/>
          <w:sz w:val="20"/>
        </w:rPr>
        <w:t xml:space="preserve">as well as other titles in the hyper-casual space, including games such as </w:t>
      </w:r>
      <w:r>
        <w:rPr>
          <w:rFonts w:ascii="Times New Roman;sans-serif" w:hAnsi="Times New Roman;sans-serif"/>
          <w:b w:val="false"/>
          <w:i/>
          <w:color w:val="000000"/>
          <w:sz w:val="20"/>
        </w:rPr>
        <w:t>CANDY CHALLENGE 3D™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BOSS LIFE™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DEEP CLEAN INC. 3D™</w:t>
      </w:r>
      <w:r>
        <w:rPr>
          <w:rFonts w:ascii="Times New Roman;sans-serif" w:hAnsi="Times New Roman;sans-serif"/>
          <w:b w:val="false"/>
          <w:color w:val="000000"/>
          <w:sz w:val="20"/>
        </w:rPr>
        <w:t xml:space="preserve">. During the three months ended June 30, 2023, SciPlay continued development and testing of various new games.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Times New Roman;sans-serif" w:hAnsi="Times New Roman;sans-serif"/>
          <w:b w:val="false"/>
          <w:i/>
          <w:color w:val="000000"/>
          <w:sz w:val="20"/>
        </w:rPr>
        <w:t>APPLE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GOOGLE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FACEBOOK</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AMAZON,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MICROSOFT</w:t>
      </w:r>
      <w:r>
        <w:rPr>
          <w:rFonts w:ascii="Times New Roman;sans-serif" w:hAnsi="Times New Roman;sans-serif"/>
          <w:b w:val="false"/>
          <w:color w:val="000000"/>
          <w:sz w:val="20"/>
        </w:rPr>
        <w:t xml:space="preserve">. In addition to SciPlay’s internally created game content, SciPlay’s content library includes recognizable game content from Light &amp; Wonder. This content allows players who like playing land-based game content to enjoy some of those same titles in SciPlay’s free-to-play games. SciPlay has access to Light &amp; Wonder’s library of more than 1,500 iconic casino titles, including titles and content from third-party licensed brands such as </w:t>
      </w:r>
      <w:r>
        <w:rPr>
          <w:rFonts w:ascii="Times New Roman;sans-serif" w:hAnsi="Times New Roman;sans-serif"/>
          <w:b w:val="false"/>
          <w:i/>
          <w:color w:val="000000"/>
          <w:sz w:val="20"/>
        </w:rPr>
        <w:t>MONOPOLY</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JAMES BOND™</w:t>
      </w:r>
      <w:r>
        <w:rPr>
          <w:rFonts w:ascii="Times New Roman;sans-serif" w:hAnsi="Times New Roman;sans-serif"/>
          <w:b w:val="false"/>
          <w:color w:val="000000"/>
          <w:sz w:val="20"/>
        </w:rPr>
        <w:t xml:space="preserve">. We believe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4"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SciPlay’s access to this content, coupled with its years of experience developing in-house content, uniquely positions SciPlay to create compelling digital games.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Year Update</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SciPlay entered 2023 with strong momentum and continues to see higher payer engagement. Revenue growth was primarily attributable to the social casino business, including games such as </w:t>
      </w:r>
      <w:r>
        <w:rPr>
          <w:rFonts w:ascii="Times New Roman;sans-serif" w:hAnsi="Times New Roman;sans-serif"/>
          <w:b w:val="false"/>
          <w:i/>
          <w:color w:val="000000"/>
          <w:sz w:val="20"/>
        </w:rPr>
        <w:t xml:space="preserve">Jackpot Party Casino, Quick Hit Slots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Gold Fish Casino</w:t>
      </w:r>
      <w:r>
        <w:rPr>
          <w:rFonts w:ascii="Times New Roman;sans-serif" w:hAnsi="Times New Roman;sans-serif"/>
          <w:b w:val="false"/>
          <w:color w:val="000000"/>
          <w:sz w:val="20"/>
        </w:rPr>
        <w:t>. SciPlay continues to deploy significant updates across a number of their portfolio games, execute on its strategic game updates and enhanced analytics, and pursue international expansion.</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 and KPIs</w:t>
      </w:r>
    </w:p>
    <w:tbl>
      <w:tblPr>
        <w:tblW w:w="4649" w:type="dxa"/>
        <w:jc w:val="center"/>
        <w:tblInd w:w="0" w:type="dxa"/>
        <w:tblLayout w:type="fixed"/>
        <w:tblCellMar>
          <w:top w:w="28" w:type="dxa"/>
          <w:left w:w="28" w:type="dxa"/>
          <w:bottom w:w="28" w:type="dxa"/>
          <w:right w:w="28" w:type="dxa"/>
        </w:tblCellMar>
      </w:tblPr>
      <w:tblGrid>
        <w:gridCol w:w="1489"/>
        <w:gridCol w:w="1308"/>
        <w:gridCol w:w="1852"/>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and Six Months Ended June 30, 2023 and 2022</w:t>
            </w:r>
          </w:p>
        </w:tc>
      </w:tr>
    </w:tbl>
    <w:p>
      <w:pPr>
        <w:pStyle w:val="TextBody"/>
        <w:bidi w:val="0"/>
        <w:spacing w:before="0" w:after="160"/>
        <w:jc w:val="center"/>
        <w:rPr/>
      </w:pPr>
      <w:r>
        <w:rPr/>
        <w:drawing>
          <wp:inline distT="0" distB="0" distL="0" distR="0">
            <wp:extent cx="2152650" cy="2152650"/>
            <wp:effectExtent l="0" t="0" r="0" b="0"/>
            <wp:docPr id="4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9" descr=""/>
                    <pic:cNvPicPr>
                      <a:picLocks noChangeAspect="1" noChangeArrowheads="1"/>
                    </pic:cNvPicPr>
                  </pic:nvPicPr>
                  <pic:blipFill>
                    <a:blip r:embed="rId10"/>
                    <a:stretch>
                      <a:fillRect/>
                    </a:stretch>
                  </pic:blipFill>
                  <pic:spPr bwMode="auto">
                    <a:xfrm>
                      <a:off x="0" y="0"/>
                      <a:ext cx="2152650" cy="2152650"/>
                    </a:xfrm>
                    <a:prstGeom prst="rect">
                      <a:avLst/>
                    </a:prstGeom>
                  </pic:spPr>
                </pic:pic>
              </a:graphicData>
            </a:graphic>
          </wp:inline>
        </w:drawing>
      </w:r>
      <w:r>
        <w:rPr/>
        <w:drawing>
          <wp:inline distT="0" distB="0" distL="0" distR="0">
            <wp:extent cx="2152650" cy="2152650"/>
            <wp:effectExtent l="0" t="0" r="0" b="0"/>
            <wp:docPr id="4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0" descr=""/>
                    <pic:cNvPicPr>
                      <a:picLocks noChangeAspect="1" noChangeArrowheads="1"/>
                    </pic:cNvPicPr>
                  </pic:nvPicPr>
                  <pic:blipFill>
                    <a:blip r:embed="rId11"/>
                    <a:stretch>
                      <a:fillRect/>
                    </a:stretch>
                  </pic:blipFill>
                  <pic:spPr bwMode="auto">
                    <a:xfrm>
                      <a:off x="0" y="0"/>
                      <a:ext cx="2152650" cy="2152650"/>
                    </a:xfrm>
                    <a:prstGeom prst="rect">
                      <a:avLst/>
                    </a:prstGeom>
                  </pic:spPr>
                </pic:pic>
              </a:graphicData>
            </a:graphic>
          </wp:inline>
        </w:drawing>
      </w:r>
      <w:r>
        <w:rPr/>
        <w:drawing>
          <wp:inline distT="0" distB="0" distL="0" distR="0">
            <wp:extent cx="2152650" cy="2152650"/>
            <wp:effectExtent l="0" t="0" r="0" b="0"/>
            <wp:docPr id="4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1" descr=""/>
                    <pic:cNvPicPr>
                      <a:picLocks noChangeAspect="1" noChangeArrowheads="1"/>
                    </pic:cNvPicPr>
                  </pic:nvPicPr>
                  <pic:blipFill>
                    <a:blip r:embed="rId12"/>
                    <a:stretch>
                      <a:fillRect/>
                    </a:stretch>
                  </pic:blipFill>
                  <pic:spPr bwMode="auto">
                    <a:xfrm>
                      <a:off x="0" y="0"/>
                      <a:ext cx="2152650" cy="2152650"/>
                    </a:xfrm>
                    <a:prstGeom prst="rect">
                      <a:avLst/>
                    </a:prstGeom>
                  </pic:spPr>
                </pic:pic>
              </a:graphicData>
            </a:graphic>
          </wp:inline>
        </w:drawing>
      </w:r>
    </w:p>
    <w:tbl>
      <w:tblPr>
        <w:tblW w:w="11003" w:type="dxa"/>
        <w:jc w:val="center"/>
        <w:tblInd w:w="0" w:type="dxa"/>
        <w:tblLayout w:type="fixed"/>
        <w:tblCellMar>
          <w:top w:w="28" w:type="dxa"/>
          <w:left w:w="28" w:type="dxa"/>
          <w:bottom w:w="28" w:type="dxa"/>
          <w:right w:w="28" w:type="dxa"/>
        </w:tblCellMar>
      </w:tblPr>
      <w:tblGrid>
        <w:gridCol w:w="550"/>
        <w:gridCol w:w="272"/>
        <w:gridCol w:w="274"/>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180"/>
        <w:gridCol w:w="181"/>
        <w:gridCol w:w="271"/>
        <w:gridCol w:w="109"/>
        <w:gridCol w:w="109"/>
        <w:gridCol w:w="109"/>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202"/>
        <w:gridCol w:w="204"/>
        <w:gridCol w:w="31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 xml:space="preserve">Variance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 xml:space="preserve">Variance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 unless otherwise noted)</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Mobile in-app 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Web in-app purchases and other</w:t>
            </w:r>
            <w:r>
              <w:rPr>
                <w:rFonts w:ascii="Times New Roman;sans-serif" w:hAnsi="Times New Roman;sans-serif"/>
                <w:b w:val="false"/>
                <w:color w:val="000000"/>
                <w:sz w:val="13"/>
              </w:rPr>
              <w:t>(1)</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SciPlay KPIs: </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In-App Purchases: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Mobile Penetration</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MAU</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DAU</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ARPDAU</w:t>
            </w:r>
            <w:r>
              <w:rPr>
                <w:rFonts w:ascii="Times New Roman;sans-serif" w:hAnsi="Times New Roman;sans-serif"/>
                <w:b w:val="false"/>
                <w:color w:val="000000"/>
                <w:sz w:val="13"/>
              </w:rPr>
              <w:t>(5)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MPU</w:t>
            </w:r>
            <w:r>
              <w:rPr>
                <w:rFonts w:ascii="Times New Roman;sans-serif" w:hAnsi="Times New Roman;sans-serif"/>
                <w:b w:val="false"/>
                <w:color w:val="000000"/>
                <w:sz w:val="13"/>
              </w:rPr>
              <w:t xml:space="preserve">(6) </w:t>
            </w:r>
            <w:r>
              <w:rPr>
                <w:rFonts w:ascii="Times New Roman;sans-serif" w:hAnsi="Times New Roman;sans-serif"/>
                <w:b w:val="false"/>
                <w:color w:val="000000"/>
                <w:sz w:val="20"/>
              </w:rPr>
              <w:t>(in thousands)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AMRPPU</w:t>
            </w:r>
            <w:r>
              <w:rPr>
                <w:rFonts w:ascii="Times New Roman;sans-serif" w:hAnsi="Times New Roman;sans-serif"/>
                <w:b w:val="false"/>
                <w:color w:val="000000"/>
                <w:sz w:val="13"/>
              </w:rPr>
              <w:t>(7)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Payer Conversion Rate</w:t>
            </w:r>
            <w:r>
              <w:rPr>
                <w:rFonts w:ascii="Times New Roman;sans-serif" w:hAnsi="Times New Roman;sans-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1003"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pp = percentage points.</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Other primarily represents advertising revenue, which was not material in the periods presented.</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Mobile penetration is defined as the percentage of business to consumer revenue generated from mobile platforms.</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 MAU = Monthly Active Users is a count of visitors to SciPlay sites during a month. An individual who plays multiple games or from multiple devices may, in certain circumstances, be counted more than once. However, SciPlay uses third-party data to limit the occurrence of multiple counting.</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 DAU = Daily Active Users is a count of visitors to SciPlay sites during a day. An individual who plays multiple games or from multiple devices may, in certain circumstances, be counted more than once. However, SciPlay uses third-party data to limit the occurrence of multiple counting.</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(5) ARPDAU = Average Revenue Per DAU is calculated by dividing revenue for a period by the DAU for the period by the number of days for the period.</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(6) MPU = Monthly Paying Users is the number of individual users who made an in-game purchase during a particular month.</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 AMRPPU = Average Monthly Revenue Per Paying User is calculated by dividing average monthly revenue by average MPUs for the applicable time period.</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(8) Payer conversion rate is calculated by dividing average MPU for the period by the average MAU for the same period.</w:t>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revenues increased as social casino payer engagement increased and average monthly revenue per paying user reached a new record high.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8"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revenues increased as social casino payer engagement increased with an increase in average monthly paying users.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mobile penetration percentage for the three and six months ended June 30, 2023 primarily reflects a continued trend of players migrating from web to mobile platforms to play SciPlay’s games.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MAU for the three and six months ended June 30, 2023 decreased due to the turnover in users. </w:t>
      </w:r>
    </w:p>
    <w:p>
      <w:pPr>
        <w:pStyle w:val="TextBody"/>
        <w:bidi w:val="0"/>
        <w:spacing w:lineRule="auto" w:line="288" w:before="0" w:after="16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ARPDAU increased with an increase in payers and higher daily average revenue per player while DAU slightly declined for the three months ended June 30, 2023.</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ARPDAU increased as a function of flat average DAU coupled with an increase in </w:t>
      </w:r>
      <w:r>
        <w:rPr>
          <w:rFonts w:ascii="Times New Roman;sans-serif" w:hAnsi="Times New Roman;sans-serif"/>
          <w:b w:val="false"/>
          <w:color w:val="000000"/>
          <w:sz w:val="20"/>
          <w:shd w:fill="FFFFFF" w:val="clear"/>
        </w:rPr>
        <w:t>payers for the six months ended June 30, 2023.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AMRPPU and average MPU increased as payer conversion improved compared to the prior year period. </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Payer conversion rates continue to be at high levels due to consistent</w:t>
      </w:r>
      <w:r>
        <w:rPr>
          <w:color w:val="000000"/>
          <w:shd w:fill="FFFFFF" w:val="clear"/>
        </w:rPr>
        <w:t xml:space="preserve"> </w:t>
      </w:r>
      <w:r>
        <w:rPr>
          <w:rFonts w:ascii="Times New Roman;sans-serif" w:hAnsi="Times New Roman;sans-serif"/>
          <w:b w:val="false"/>
          <w:color w:val="000000"/>
          <w:sz w:val="20"/>
          <w:shd w:fill="FFFFFF" w:val="clear"/>
        </w:rPr>
        <w:t>payer interaction with the games by players as a result of SciPlay’s</w:t>
      </w:r>
      <w:r>
        <w:rPr>
          <w:color w:val="000000"/>
        </w:rPr>
        <w:t xml:space="preserve"> </w:t>
      </w:r>
      <w:r>
        <w:rPr>
          <w:rFonts w:ascii="Times New Roman;sans-serif" w:hAnsi="Times New Roman;sans-serif"/>
          <w:b w:val="false"/>
          <w:color w:val="000000"/>
          <w:sz w:val="20"/>
        </w:rPr>
        <w:t>focus on introducing new content, features and live events in their games.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and AEBITDA</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operating expenses for the three and six months ended June 30, 2023 as compared to the prior year periods was primarily correlated with the increase in revenue (as described above) as a result of higher platform fees, higher stock-based compensation of $6 million and $10 million, respectively, higher salaries and benefits related to an increase in headcount, and an impairment charge of $5 million related to the restructuring of a certain foreign studio.</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AEBITDA for the three and six months ended June 30, 2023 increased as compared to the prior year periods</w:t>
      </w:r>
      <w:r>
        <w:rPr>
          <w:color w:val="000000"/>
          <w:shd w:fill="FFFFFF" w:val="clear"/>
        </w:rPr>
        <w:t xml:space="preserve"> </w:t>
      </w:r>
      <w:r>
        <w:rPr>
          <w:rFonts w:ascii="Times New Roman;sans-serif" w:hAnsi="Times New Roman;sans-serif"/>
          <w:b w:val="false"/>
          <w:color w:val="000000"/>
          <w:sz w:val="20"/>
        </w:rPr>
        <w:t>primarily due to the increase in revenue (as described above), partially offset by higher operating costs resulting from increases in salaries and benefits. AEBITDA margin increased by 5 and 3 percentage points,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iGAMING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 </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Year Update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expand our customer base and capitalize on growth in the European and North American markets by leveraging our industry leading platforms, content and solutions, as well as invest in our ability to scale our own original U.S. land-based content offering. Currently we have launched in six U.S. states, and we are positioned to enter others as additional state legislatures authorize online gaming. We are on track to launch our live casino operations in Michigan during the second half of 2023, pending final regulatory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49"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w:t>
      </w:r>
    </w:p>
    <w:tbl>
      <w:tblPr>
        <w:tblW w:w="4649" w:type="dxa"/>
        <w:jc w:val="center"/>
        <w:tblInd w:w="0" w:type="dxa"/>
        <w:tblLayout w:type="fixed"/>
        <w:tblCellMar>
          <w:top w:w="28" w:type="dxa"/>
          <w:left w:w="28" w:type="dxa"/>
          <w:bottom w:w="28" w:type="dxa"/>
          <w:right w:w="28" w:type="dxa"/>
        </w:tblCellMar>
      </w:tblPr>
      <w:tblGrid>
        <w:gridCol w:w="1489"/>
        <w:gridCol w:w="1308"/>
        <w:gridCol w:w="1852"/>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and Six Months Ended June 30, 2023 and 2022</w:t>
            </w:r>
          </w:p>
        </w:tc>
      </w:tr>
    </w:tbl>
    <w:p>
      <w:pPr>
        <w:pStyle w:val="TextBody"/>
        <w:bidi w:val="0"/>
        <w:spacing w:before="0" w:after="160"/>
        <w:jc w:val="center"/>
        <w:rPr/>
      </w:pPr>
      <w:r>
        <w:rPr/>
        <w:drawing>
          <wp:inline distT="0" distB="0" distL="0" distR="0">
            <wp:extent cx="2152650" cy="2152650"/>
            <wp:effectExtent l="0" t="0" r="0" b="0"/>
            <wp:docPr id="5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2" descr=""/>
                    <pic:cNvPicPr>
                      <a:picLocks noChangeAspect="1" noChangeArrowheads="1"/>
                    </pic:cNvPicPr>
                  </pic:nvPicPr>
                  <pic:blipFill>
                    <a:blip r:embed="rId13"/>
                    <a:stretch>
                      <a:fillRect/>
                    </a:stretch>
                  </pic:blipFill>
                  <pic:spPr bwMode="auto">
                    <a:xfrm>
                      <a:off x="0" y="0"/>
                      <a:ext cx="2152650" cy="2152650"/>
                    </a:xfrm>
                    <a:prstGeom prst="rect">
                      <a:avLst/>
                    </a:prstGeom>
                  </pic:spPr>
                </pic:pic>
              </a:graphicData>
            </a:graphic>
          </wp:inline>
        </w:drawing>
      </w:r>
      <w:r>
        <w:rPr/>
        <w:drawing>
          <wp:inline distT="0" distB="0" distL="0" distR="0">
            <wp:extent cx="2152650" cy="2152650"/>
            <wp:effectExtent l="0" t="0" r="0" b="0"/>
            <wp:docPr id="5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3" descr=""/>
                    <pic:cNvPicPr>
                      <a:picLocks noChangeAspect="1" noChangeArrowheads="1"/>
                    </pic:cNvPicPr>
                  </pic:nvPicPr>
                  <pic:blipFill>
                    <a:blip r:embed="rId14"/>
                    <a:stretch>
                      <a:fillRect/>
                    </a:stretch>
                  </pic:blipFill>
                  <pic:spPr bwMode="auto">
                    <a:xfrm>
                      <a:off x="0" y="0"/>
                      <a:ext cx="2152650" cy="2152650"/>
                    </a:xfrm>
                    <a:prstGeom prst="rect">
                      <a:avLst/>
                    </a:prstGeom>
                  </pic:spPr>
                </pic:pic>
              </a:graphicData>
            </a:graphic>
          </wp:inline>
        </w:drawing>
      </w:r>
      <w:r>
        <w:rPr/>
        <w:drawing>
          <wp:inline distT="0" distB="0" distL="0" distR="0">
            <wp:extent cx="2152650" cy="2152650"/>
            <wp:effectExtent l="0" t="0" r="0" b="0"/>
            <wp:docPr id="5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4" descr=""/>
                    <pic:cNvPicPr>
                      <a:picLocks noChangeAspect="1" noChangeArrowheads="1"/>
                    </pic:cNvPicPr>
                  </pic:nvPicPr>
                  <pic:blipFill>
                    <a:blip r:embed="rId15"/>
                    <a:stretch>
                      <a:fillRect/>
                    </a:stretch>
                  </pic:blipFill>
                  <pic:spPr bwMode="auto">
                    <a:xfrm>
                      <a:off x="0" y="0"/>
                      <a:ext cx="2152650" cy="2152650"/>
                    </a:xfrm>
                    <a:prstGeom prst="rect">
                      <a:avLst/>
                    </a:prstGeom>
                  </pic:spPr>
                </pic:pic>
              </a:graphicData>
            </a:graphic>
          </wp:inline>
        </w:drawing>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iGaming revenue of 17% and 12% for the three and six months ended June 30, 2023, respectively, as compared to the prior year periods, was primarily due to continuing momentum in the U.S. market, which delivered 32% and 33% year-over-year revenue growth, respectively, driven by the strength of our original content and growth in gross gaming revenue. The current year periods also benefited from $2 million in license termination fees. Wagers processed through our Open Gaming System for both current year periods increased to $21 billion and $41 billion, respectively. The three and six months ended June 30, 2023 were impacted by unfavorable impact of foreign currency translation of $1 million and $4 million, respectively.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AEBITDA for the three and six months ended June 30, 2023 increased as compared to the prior year periods primarily due to the increase in revenue (as described above). AEBITDA margin decreased by 1 and increased by 1 percentage point for the three and six months ended June 30, 2023, respectively, as we continued strong launches of our original content and investments supporting ongoing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RECENTLY ISSUED ACCOUNTING GUIDANCE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recently issued accounting guidance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For a description of our policies regarding our critical accounting estimates, see “Critical Accounting Estimates” in </w:t>
      </w:r>
      <w:r>
        <w:rPr>
          <w:rFonts w:ascii="Times New Roman;sans-serif" w:hAnsi="Times New Roman;sans-serif"/>
          <w:b w:val="false"/>
          <w:i/>
          <w:color w:val="000000"/>
          <w:sz w:val="20"/>
        </w:rPr>
        <w:t>Item 7</w:t>
      </w:r>
      <w:r>
        <w:rPr>
          <w:color w:val="000000"/>
        </w:rPr>
        <w:t xml:space="preserve"> “</w:t>
      </w:r>
      <w:r>
        <w:rPr>
          <w:rFonts w:ascii="Times New Roman;sans-serif" w:hAnsi="Times New Roman;sans-serif"/>
          <w:b w:val="false"/>
          <w:color w:val="000000"/>
          <w:sz w:val="20"/>
        </w:rPr>
        <w:t>Management’s Discussion and Analysis of Financial Condition and Results of Operations” included in our 2022 10-K.</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There have been no significant changes in our critical accounting estimate policies or the application of those policies to our condensed consolidated financial statements from those presented in </w:t>
      </w:r>
      <w:r>
        <w:rPr>
          <w:rFonts w:ascii="Times New Roman;sans-serif" w:hAnsi="Times New Roman;sans-serif"/>
          <w:b w:val="false"/>
          <w:i/>
          <w:color w:val="000000"/>
          <w:sz w:val="20"/>
        </w:rPr>
        <w:t>Item 7</w:t>
      </w:r>
      <w:r>
        <w:rPr>
          <w:color w:val="000000"/>
        </w:rPr>
        <w:t xml:space="preserve"> “</w:t>
      </w:r>
      <w:r>
        <w:rPr>
          <w:rFonts w:ascii="Times New Roman;sans-serif" w:hAnsi="Times New Roman;sans-serif"/>
          <w:b w:val="false"/>
          <w:color w:val="000000"/>
          <w:sz w:val="20"/>
        </w:rPr>
        <w:t>Management's Discussion and Analysis of Financial Condition and Results of Operations” included 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WORKING CAPITAL</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Available Liquidity</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our principal sources of liquidity, other than cash flows provided by operating activities, were cash and cash equivalents, including SciPlay cash and cash equivalents (for our SciPlay business segment), and amounts available under the SciPlay Revolver (for our SciPlay business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3"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Available Revolver Capacity</w:t>
      </w:r>
    </w:p>
    <w:tbl>
      <w:tblPr>
        <w:tblW w:w="10205" w:type="dxa"/>
        <w:jc w:val="center"/>
        <w:tblInd w:w="0" w:type="dxa"/>
        <w:tblLayout w:type="fixed"/>
        <w:tblCellMar>
          <w:top w:w="28" w:type="dxa"/>
          <w:left w:w="28" w:type="dxa"/>
          <w:bottom w:w="28" w:type="dxa"/>
          <w:right w:w="28" w:type="dxa"/>
        </w:tblCellMar>
      </w:tblPr>
      <w:tblGrid>
        <w:gridCol w:w="801"/>
        <w:gridCol w:w="622"/>
        <w:gridCol w:w="615"/>
        <w:gridCol w:w="109"/>
        <w:gridCol w:w="109"/>
        <w:gridCol w:w="109"/>
        <w:gridCol w:w="450"/>
        <w:gridCol w:w="993"/>
        <w:gridCol w:w="233"/>
        <w:gridCol w:w="109"/>
        <w:gridCol w:w="109"/>
        <w:gridCol w:w="109"/>
        <w:gridCol w:w="317"/>
        <w:gridCol w:w="701"/>
        <w:gridCol w:w="163"/>
        <w:gridCol w:w="109"/>
        <w:gridCol w:w="109"/>
        <w:gridCol w:w="109"/>
        <w:gridCol w:w="911"/>
        <w:gridCol w:w="1626"/>
        <w:gridCol w:w="477"/>
        <w:gridCol w:w="109"/>
        <w:gridCol w:w="109"/>
        <w:gridCol w:w="109"/>
        <w:gridCol w:w="211"/>
        <w:gridCol w:w="616"/>
        <w:gridCol w:w="161"/>
      </w:tblGrid>
      <w:tr>
        <w:trPr/>
        <w:tc>
          <w:tcPr>
            <w:tcW w:w="8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Revolver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Revolver capacity drawn or committed to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L&amp;W (excluding 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L&amp;W (excluding 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SciPlay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held by our foreign subsidiaries was $152 million and $142 million as of June 30, 2023 and December 31, 2022, respectively. We believe that substantially all cash held outside the U.S. is free from legal encumbrances or similar restrictions that would prevent it from being available to meet our global liquidity needs.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purchase obligations, supply contracts, license agreement minimum guaranteed payments and lease obligations. Under our certain debt agreements, we are required to use a portion of the proceeds received from the Divestitures to reinvest in our business and/or make payments towards our outstanding senior notes by the end of 2023. In April 2023, we paid $32 million in cash taxes associated with the Divestitures. There have been no material changes to our capital requirements disclosed in our 2022 10-K.</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Our ability to make payments on and to refinance our indebtedness and other obligations depends on our ability to generate cash in the future. We may, from time to time, repurchase or otherwise repay, retire or refinance our debt, through our subsidiaries or otherwise. In the event we pursue significant acquisitions or other expansion opportunities, or conduct significant repurchases of our outstanding securities,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sans-serif" w:hAnsi="Times New Roman;sans-serif"/>
          <w:b w:val="false"/>
          <w:i/>
          <w:color w:val="000000"/>
          <w:sz w:val="20"/>
        </w:rPr>
        <w:t>Part I, Item 1A</w:t>
      </w:r>
      <w:r>
        <w:rPr>
          <w:color w:val="000000"/>
        </w:rPr>
        <w:t xml:space="preserve"> </w:t>
      </w:r>
      <w:r>
        <w:rPr>
          <w:rFonts w:ascii="Times New Roman;sans-serif" w:hAnsi="Times New Roman;sans-serif"/>
          <w:b w:val="false"/>
          <w:color w:val="000000"/>
          <w:sz w:val="20"/>
        </w:rPr>
        <w:t>in our 2022 10-K.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2022, our Board of Directors approved a share repurchase program under which we are authorized to repurchase, from time to time through February 25, 2025, up to an aggregate amount of $750 million of our outstanding common stock. During the six months ended June 30, 2023, we repurchased 0.6 million shares of common stock under the program at an aggregate cost of $33 million.</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May 9, 2022, SciPlay’s Board of Directors approved a share repurchase program under which it is authorized to repurchase, from time to time through May 9, 2024, up to an aggregate amount of $60 million of its outstanding Class A common stock. SciPlay has since completed the initial share repurchase program authorization. On May 3, 2023, SciPlay’s Board of Directors approved another share repurchase program under which it is authorized to repurchase, from time to time through May 3, 2024, up to an aggregate amount of $60 million of its outstanding Class A common stock. No share repurchases have been made under the new program as of June 30, 2023.</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2023, we entered into a definitive agreement to acquire the remaining equity interest in SciPlay not already owned by us (see Note 1 for additional details). The SciPlay Acquisition, once completed, would require us to pay approximately $500 million to the holders of SciPlay Class A common stock (subject to certain exceptions set forth in the Merger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4"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 Summary</w:t>
      </w:r>
    </w:p>
    <w:tbl>
      <w:tblPr>
        <w:tblW w:w="10059" w:type="dxa"/>
        <w:jc w:val="center"/>
        <w:tblInd w:w="0" w:type="dxa"/>
        <w:tblLayout w:type="fixed"/>
        <w:tblCellMar>
          <w:top w:w="28" w:type="dxa"/>
          <w:left w:w="28" w:type="dxa"/>
          <w:bottom w:w="28" w:type="dxa"/>
          <w:right w:w="28" w:type="dxa"/>
        </w:tblCellMar>
      </w:tblPr>
      <w:tblGrid>
        <w:gridCol w:w="2292"/>
        <w:gridCol w:w="2008"/>
        <w:gridCol w:w="2030"/>
        <w:gridCol w:w="248"/>
        <w:gridCol w:w="548"/>
        <w:gridCol w:w="128"/>
        <w:gridCol w:w="128"/>
        <w:gridCol w:w="128"/>
        <w:gridCol w:w="128"/>
        <w:gridCol w:w="248"/>
        <w:gridCol w:w="548"/>
        <w:gridCol w:w="128"/>
        <w:gridCol w:w="109"/>
        <w:gridCol w:w="109"/>
        <w:gridCol w:w="109"/>
        <w:gridCol w:w="272"/>
        <w:gridCol w:w="699"/>
        <w:gridCol w:w="199"/>
      </w:tblGrid>
      <w:tr>
        <w:trPr/>
        <w:tc>
          <w:tcPr>
            <w:tcW w:w="229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 from:</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investing activities from:</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 from:</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cash equivalents and restricted cash</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tbl>
      <w:tblPr>
        <w:tblW w:w="10205" w:type="dxa"/>
        <w:jc w:val="center"/>
        <w:tblInd w:w="0" w:type="dxa"/>
        <w:tblLayout w:type="fixed"/>
        <w:tblCellMar>
          <w:top w:w="28" w:type="dxa"/>
          <w:left w:w="28" w:type="dxa"/>
          <w:bottom w:w="28" w:type="dxa"/>
          <w:right w:w="28" w:type="dxa"/>
        </w:tblCellMar>
      </w:tblPr>
      <w:tblGrid>
        <w:gridCol w:w="2404"/>
        <w:gridCol w:w="2107"/>
        <w:gridCol w:w="2136"/>
        <w:gridCol w:w="220"/>
        <w:gridCol w:w="487"/>
        <w:gridCol w:w="113"/>
        <w:gridCol w:w="113"/>
        <w:gridCol w:w="113"/>
        <w:gridCol w:w="113"/>
        <w:gridCol w:w="220"/>
        <w:gridCol w:w="645"/>
        <w:gridCol w:w="113"/>
        <w:gridCol w:w="109"/>
        <w:gridCol w:w="109"/>
        <w:gridCol w:w="109"/>
        <w:gridCol w:w="222"/>
        <w:gridCol w:w="701"/>
        <w:gridCol w:w="171"/>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664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8"/>
                <w:u w:val="single"/>
              </w:rPr>
            </w:pPr>
            <w:r>
              <w:rPr>
                <w:rFonts w:ascii="Times New Roman;sans-serif" w:hAnsi="Times New Roman;sans-serif"/>
                <w:b/>
                <w:color w:val="000000"/>
                <w:sz w:val="18"/>
                <w:u w:val="single"/>
              </w:rPr>
              <w:t>($ in millions)</w:t>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discontinued operations, net of tax</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from continuing operations to net cash provided by operating activities from continuing operations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accounts, excluding the effects of acquisitions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deferred income taxes and other</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from continuing operations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64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from continuing operations increased primarily due to a $158 million increase in earnings (drivers described above) and favorable changes in working capital accounts.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accounts for the six months ended June 30, 2023 as compared to the six months ended June 30, 2022 benefited from lower interest payments, partially offset by $32 million in cash taxes associated with the Divestitures and $7 million in professional services associated with the ASX listing. The prior year period was also negatively impacted by the timing of disbursements including costs associated with the strategic review and accelerated cash interest payments associated with refinancing debt transactions in April 2022.</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from continuing operations decreased primarily due to SciPlay’s acquisition of Alictus Yazilim Anonim Şirketi in the prior year period, partially offset by the settlement of cross-currency interest rate swaps in the prior year period, in which we received approximately $50 million in cash proceeds, and higher capital expenditures in the current year period. Capital expenditures are composed of investments in systems, equipment and other assets related to contracts, property and equipment, intangible assets and software.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from discontinued operations decreased primarily as a result of the receipt of $5.7 billion in gross cash proceeds from the sale of the former Lottery Business, net of cash, cash equivalents and restricted cash transferred, during the second quarter of 2022.</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decreased primarily due to the refinancing debt transactions in April 2022, in which we repaid $7.0 billion in senior notes (including redemption premium) and outstanding term loan borrowings and received $2.2 billion in proceeds from the issuance of the LNWI Term Loan B. We also purchased less of our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5"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under our share repurchase program during the current year period. During the six months ended June 30, 2023 and 2022, we purchased $33 million and $203 million, respectively, of our common stock.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 and Other Debt</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For additional information regarding the LNWI Credit Agreement and other debt, interest rate risk and interest rate hedging instruments, see Notes 15 and 16 and </w:t>
      </w:r>
      <w:r>
        <w:rPr>
          <w:rFonts w:ascii="Times New Roman;sans-serif" w:hAnsi="Times New Roman;sans-serif"/>
          <w:b w:val="false"/>
          <w:i/>
          <w:color w:val="000000"/>
          <w:sz w:val="20"/>
        </w:rPr>
        <w:t>Item 7A</w:t>
      </w:r>
      <w:r>
        <w:rPr>
          <w:color w:val="000000"/>
        </w:rPr>
        <w:t xml:space="preserve"> “</w:t>
      </w:r>
      <w:r>
        <w:rPr>
          <w:rFonts w:ascii="Times New Roman;sans-serif" w:hAnsi="Times New Roman;sans-serif"/>
          <w:b w:val="false"/>
          <w:color w:val="000000"/>
          <w:sz w:val="20"/>
        </w:rPr>
        <w:t xml:space="preserve">Quantitative and Qualitative Disclosures About Market Risk” in our 2022 10-K as well as Notes 11 and 12 and </w:t>
      </w:r>
      <w:r>
        <w:rPr>
          <w:rFonts w:ascii="Times New Roman;sans-serif" w:hAnsi="Times New Roman;sans-serif"/>
          <w:b w:val="false"/>
          <w:i/>
          <w:color w:val="000000"/>
          <w:sz w:val="20"/>
        </w:rPr>
        <w:t>Item 3</w:t>
      </w:r>
      <w:r>
        <w:rPr>
          <w:color w:val="000000"/>
        </w:rPr>
        <w:t xml:space="preserve"> </w:t>
      </w:r>
      <w:r>
        <w:rPr>
          <w:rFonts w:ascii="Times New Roman;sans-serif" w:hAnsi="Times New Roman;sans-serif"/>
          <w:b w:val="false"/>
          <w:color w:val="000000"/>
          <w:sz w:val="20"/>
        </w:rPr>
        <w:t xml:space="preserve">below in this </w:t>
      </w:r>
      <w:r>
        <w:rPr>
          <w:rFonts w:ascii="Times New Roman;sans-serif" w:hAnsi="Times New Roman;sans-serif"/>
          <w:b w:val="false"/>
          <w:color w:val="000000"/>
          <w:sz w:val="20"/>
          <w:shd w:fill="FFFFFF" w:val="clear"/>
        </w:rPr>
        <w:t>Quarterly Report on Form</w:t>
      </w:r>
      <w:r>
        <w:rPr>
          <w:color w:val="000000"/>
        </w:rPr>
        <w:t xml:space="preserve"> </w:t>
      </w:r>
      <w:r>
        <w:rPr>
          <w:rFonts w:ascii="Times New Roman;sans-serif" w:hAnsi="Times New Roman;sans-serif"/>
          <w:b w:val="false"/>
          <w:color w:val="000000"/>
          <w:sz w:val="20"/>
        </w:rPr>
        <w:t>10-Q.</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did not have any significant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exchange rates and commodity prices. The following are our primary exposures to market risks: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    </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face value of long-term debt was $3.9 billion, including $2.2 billion of variable-rate obligations. Assuming a constant outstanding balance for our variable-rate long-term debt and excluding the impact of interest rate swap contracts, a hypothetical 1% change in interest rates would result in interest expense changing by approximately $22 million. All of our interest rate sensitive financial instruments are held for purposes other than trading.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2022, we entered into interest rate swap contracts with $700 million notional amount to hedge a portion of our interest expense associated with our variable rate debt to effectively fix the interest rate that we will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long-term debt and interest rate swap contracts, see Notes 11 and 12,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June 30,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June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6"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see Note 16 in this Quarterly Report on Form 10-Q and Note 20 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60"/>
        <w:ind w:left="0" w:right="0" w:firstLine="720"/>
        <w:jc w:val="left"/>
        <w:rPr/>
      </w:pPr>
      <w:r>
        <w:rPr>
          <w:rFonts w:ascii="Times New Roman;sans-serif" w:hAnsi="Times New Roman;sans-serif"/>
          <w:b w:val="false"/>
          <w:color w:val="000000"/>
          <w:sz w:val="20"/>
        </w:rPr>
        <w:t xml:space="preserve">There have been no material changes in our risk factors from those disclosed under </w:t>
      </w:r>
      <w:r>
        <w:rPr>
          <w:rFonts w:ascii="Times New Roman;sans-serif" w:hAnsi="Times New Roman;sans-serif"/>
          <w:b w:val="false"/>
          <w:i/>
          <w:color w:val="000000"/>
          <w:sz w:val="20"/>
        </w:rPr>
        <w:t>Item 1A</w:t>
      </w:r>
      <w:r>
        <w:rPr>
          <w:color w:val="000000"/>
        </w:rPr>
        <w:t xml:space="preserve"> “</w:t>
      </w:r>
      <w:r>
        <w:rPr>
          <w:rFonts w:ascii="Times New Roman;sans-serif" w:hAnsi="Times New Roman;sans-serif"/>
          <w:b w:val="false"/>
          <w:color w:val="000000"/>
          <w:sz w:val="20"/>
        </w:rPr>
        <w:t>Risk Factors” included in our 2022 10-K, except as noted below.</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Our secondary listing of the Company’s common stock on the Australian Securities Exchange could lead to price variations and other impacts on holders our common stock.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22, 2023 (AEST), our common stock was listed as CDIs on the ASX and commenced active trading under the ASX code “LNW,” in addition to our existing primary listing on The Nasdaq Stock Market (“Nasdaq”). Dual listing may result in price variations between our securities listed on the different exchanges due to a number of factors, including that our common stock listed on the Nasdaq is traded in U.S. dollars and any CDIs listed on the ASX are traded in Australian Dollars, volatility in the exchange rate of the two currencies and differences between the vacation schedules, trading schedules and time zones of the two exchanges, among other factors. A decrease in the price of our securities in one market may result in a decrease in the price of our securities in the other market. Dual listing also presents us with the opportunity to raise additional funds through the issuance of CDIs, which could cause dilution to existing stockholders.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The SciPlay Acquisition subjects us to a number of risks and uncertainties, including lack of assurance regarding the timing of completion of the transaction, whether it will yield additional value for our stockholders and whether it will adversely impact our business, financial results, results of operations, cash flows or stock price.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2023, we entered into a definitive agreement to acquire the remaining equity interest in SciPlay not already owned by us (approximately 17%) pursuant to a merger in which SciPlay’s shareholders will receive $22.95 for each share of SciPlay Class A common stock they own (subject to certain exceptions set forth in the Merger Agreement) in an all-cash transaction (valued at approximately $500 million subject to the total count of outstanding SciPlay Class A shares at closing).</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SciPlay Acquisition exposes us to a number of risks and uncertainties, including the possibility that the conditions to the completion of the SciPlay Acquisition may not be satisfied on the anticipated schedule or at all; that L&amp;W may be unable to achieve the expected operational, strategic and financial benefits of the SciPlay Acquisition; diversion of management’s time to the processes associated with evaluating and consummating the SciPlay Acquisition; the incurrence of significant expenses associated with the review, pursuit and consummation of the SciPlay Acquisition; difficulties in retaining or motivating key management personnel of SciPlay; and exposure to potential litigation. Any of these factors could disrupt our business and could have a material adverse effect on our business, financial condition, results of operations, cash flows or stock price. There can be no assurance that the SciPlay Acquisition will provide greater value to our stockholders than that reflected in our current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84,919 shares under the share repurchase program during the three months ended June 30, 2023.</w:t>
      </w:r>
    </w:p>
    <w:tbl>
      <w:tblPr>
        <w:tblW w:w="10205" w:type="dxa"/>
        <w:jc w:val="center"/>
        <w:tblInd w:w="0" w:type="dxa"/>
        <w:tblLayout w:type="fixed"/>
        <w:tblCellMar>
          <w:top w:w="28" w:type="dxa"/>
          <w:left w:w="28" w:type="dxa"/>
          <w:bottom w:w="28" w:type="dxa"/>
          <w:right w:w="28" w:type="dxa"/>
        </w:tblCellMar>
      </w:tblPr>
      <w:tblGrid>
        <w:gridCol w:w="391"/>
        <w:gridCol w:w="343"/>
        <w:gridCol w:w="345"/>
        <w:gridCol w:w="109"/>
        <w:gridCol w:w="109"/>
        <w:gridCol w:w="109"/>
        <w:gridCol w:w="484"/>
        <w:gridCol w:w="452"/>
        <w:gridCol w:w="453"/>
        <w:gridCol w:w="109"/>
        <w:gridCol w:w="109"/>
        <w:gridCol w:w="109"/>
        <w:gridCol w:w="327"/>
        <w:gridCol w:w="956"/>
        <w:gridCol w:w="169"/>
        <w:gridCol w:w="109"/>
        <w:gridCol w:w="109"/>
        <w:gridCol w:w="109"/>
        <w:gridCol w:w="521"/>
        <w:gridCol w:w="631"/>
        <w:gridCol w:w="270"/>
        <w:gridCol w:w="109"/>
        <w:gridCol w:w="109"/>
        <w:gridCol w:w="109"/>
        <w:gridCol w:w="899"/>
        <w:gridCol w:w="1988"/>
        <w:gridCol w:w="668"/>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millions, except for price per share)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ISSUER PURCHASES OF EQUITY SECURITIES</w:t>
            </w:r>
          </w:p>
        </w:tc>
      </w:tr>
      <w:tr>
        <w:trPr/>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w:t>
              <w:br/>
              <w:t>Purchased as Part of</w:t>
              <w:br/>
              <w:t>Publicly Announced</w:t>
              <w:br/>
              <w:t>Program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Cost of Repurchase </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Program (in millions)</w:t>
            </w:r>
          </w:p>
        </w:tc>
      </w:tr>
      <w:tr>
        <w:trPr/>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4/1/2023 - 4/30/2023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60,039 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5/1/2023 - 5/31/2023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6/1/2023 - 6/30/2023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84,919 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7"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 and Policies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June 30, 2023, no director or officer of the Company adopted or terminated a "Rule 10b5-1 trading arrangement" as such term is defined in Item 408(a) of Regulation S-K.</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and Restatement of Bylaws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 2023, the Board of Directors of the Company approved an amendment and restatement of the Company’s Second Amended and Restated Bylaws (the “Third Amended and Restated Bylaws”), which became effective the same day. The Third Amended and Restated Bylaws incorporate certain amendments to, among other things: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a.update the procedural mechanics and disclosure requirements relating to director nominations made by stockholders in light of new federal proxy rules mandating the use of “universal” proxy cards in contested director elections, including by:</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i.requiring that any stockholder submitting a nomination provide the Company with reasonable documentary evidence five business days prior to the meeting that the representations with respect to Rule 14a-19 under the Exchange Act (i.e., federal proxy rules regarding the use of “universal” proxy cards in contested director elections) required to be set forth in such stockholder’s nomination notice have been complied 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ii.requiring that any stockholder soliciting proxies in accordance with the representations of Rule 14a-19 under the Exchange Act notify the Company of any change in such intent within two business days;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iii.limiting the number of nominees a stockholder may nominate for election at a meeting of stockholders to the number of directors to be elected at such meeting;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iv.clarifying how votes of stockholders are treated by the Company in the event proxies for disqualified or withdrawn nominees for the Board are received;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b.require that a stockholder indirectly or directly soliciting proxies from other stockholders use a proxy card color other than white.</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Third Amended and Restated Bylaws also make certain other amendments reflecting clarifying, non-substantive, administrative or procedural changes to modernize and update the bylaws.</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bylaws amendment is qualified in its entirety by reference to the copy of the Third Amended and Restated Bylaws which is filed as Exhibit 3.2 to this Quarterly Report on Form 10-Q.</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Certificate of Withdrawal of Series A Junior Participating Preferred Stock</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June 19, 2023 expiration of the Amended and Restated Rights Agreement, dated as of January 10, 2018 (as previously amended by the first amendment, dated as of June 16, 2020), between the Company and American Stock Transfer &amp; Trust Company, LLC, on August 8, 2023, the Company filed with the office of the Nevada Secretary of State a Certificate of Withdrawal of Certificate of Designation of Series A Junior Participating Preferred Stock (the “Certificate of Withdrawal”), which, effective upon filing, eliminated from the Company’s articles of incorporation the Certificate of Designation of Series A Junior Participating Preferred Stock the Company filed with the Nevada Secretary of State on January 10, 2018 (as previously amended by the first amendment, dated as of August 5, 2022), returning the shares previously designated as Series A Junior Participating Preferred Stock to authorized but undesignated shares of the Company’s preferred stock. The foregoing summary of the terms of the Certificate of Withdrawal does not purport to be complete and is qualified in its entirety by reference to the Certificate of Withdrawal, a copy of which is attached as Exhibit 3.3 to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8"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1"/>
        <w:gridCol w:w="264"/>
        <w:gridCol w:w="265"/>
        <w:gridCol w:w="109"/>
        <w:gridCol w:w="109"/>
        <w:gridCol w:w="109"/>
        <w:gridCol w:w="2713"/>
        <w:gridCol w:w="2609"/>
        <w:gridCol w:w="3726"/>
      </w:tblGrid>
      <w:tr>
        <w:trPr/>
        <w:tc>
          <w:tcPr>
            <w:tcW w:w="3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Restated Articles of Incorporation of Light &amp; Wonder, Inc., filed with the Secretary of State of the State of Nevada on August 5, 2022 (incorporated by reference to Exhibit 3.1(a) to Light &amp; Wonder, Inc.’s Quarterly Report on Form 10-Q for the quarter ended June 30, 2022).</w:t>
              </w:r>
            </w:hyperlink>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thirdamendedandrestat.htm">
              <w:r>
                <w:rPr>
                  <w:rStyle w:val="InternetLink"/>
                  <w:rFonts w:ascii="Times New Roman;sans-serif" w:hAnsi="Times New Roman;sans-serif"/>
                  <w:b w:val="false"/>
                  <w:color w:val="000080"/>
                  <w:sz w:val="20"/>
                  <w:u w:val="single"/>
                </w:rPr>
                <w:t>Third</w:t>
              </w:r>
            </w:hyperlink>
            <w:hyperlink w:anchor="ex32-thirdamendedandrestat.htm">
              <w:r>
                <w:rPr>
                  <w:rStyle w:val="InternetLink"/>
                  <w:rFonts w:ascii="Times New Roman;sans-serif" w:hAnsi="Times New Roman;sans-serif"/>
                  <w:b w:val="false"/>
                  <w:color w:val="000080"/>
                  <w:sz w:val="20"/>
                  <w:u w:val="single"/>
                </w:rPr>
                <w:t xml:space="preserve"> Amended and Restated Bylaws of Light &amp; Wonder, Inc., effective as of </w:t>
              </w:r>
            </w:hyperlink>
            <w:hyperlink w:anchor="ex32-thirdamendedandrestat.htm">
              <w:r>
                <w:rPr>
                  <w:rStyle w:val="InternetLink"/>
                  <w:rFonts w:ascii="Times New Roman;sans-serif" w:hAnsi="Times New Roman;sans-serif"/>
                  <w:b w:val="false"/>
                  <w:color w:val="000080"/>
                  <w:sz w:val="20"/>
                  <w:u w:val="single"/>
                </w:rPr>
                <w:t>August</w:t>
              </w:r>
            </w:hyperlink>
            <w:hyperlink w:anchor="ex32-thirdamendedandrestat.htm">
              <w:r>
                <w:rPr>
                  <w:rStyle w:val="InternetLink"/>
                  <w:rFonts w:ascii="Times New Roman;sans-serif" w:hAnsi="Times New Roman;sans-serif"/>
                  <w:b w:val="false"/>
                  <w:color w:val="000080"/>
                  <w:sz w:val="20"/>
                  <w:u w:val="single"/>
                </w:rPr>
                <w:t xml:space="preserve"> </w:t>
              </w:r>
            </w:hyperlink>
            <w:hyperlink w:anchor="ex32-thirdamendedandrestat.htm">
              <w:r>
                <w:rPr>
                  <w:rStyle w:val="InternetLink"/>
                  <w:rFonts w:ascii="Times New Roman;sans-serif" w:hAnsi="Times New Roman;sans-serif"/>
                  <w:b w:val="false"/>
                  <w:color w:val="000080"/>
                  <w:sz w:val="20"/>
                  <w:u w:val="single"/>
                </w:rPr>
                <w:t>3</w:t>
              </w:r>
            </w:hyperlink>
            <w:hyperlink w:anchor="ex32-thirdamendedandrestat.htm">
              <w:r>
                <w:rPr>
                  <w:rStyle w:val="InternetLink"/>
                  <w:rFonts w:ascii="Times New Roman;sans-serif" w:hAnsi="Times New Roman;sans-serif"/>
                  <w:b w:val="false"/>
                  <w:color w:val="000080"/>
                  <w:sz w:val="20"/>
                  <w:u w:val="single"/>
                </w:rPr>
                <w:t>, 202</w:t>
              </w:r>
            </w:hyperlink>
            <w:hyperlink w:anchor="ex32-thirdamendedandrestat.htm">
              <w:r>
                <w:rPr>
                  <w:rStyle w:val="InternetLink"/>
                  <w:rFonts w:ascii="Times New Roman;sans-serif" w:hAnsi="Times New Roman;sans-serif"/>
                  <w:b w:val="false"/>
                  <w:color w:val="000080"/>
                  <w:sz w:val="20"/>
                  <w:u w:val="single"/>
                </w:rPr>
                <w:t>3</w:t>
              </w:r>
            </w:hyperlink>
            <w:hyperlink w:anchor="ex32-thirdamendedandrestat.htm">
              <w:r>
                <w:rPr>
                  <w:rStyle w:val="InternetLink"/>
                  <w:rFonts w:ascii="Times New Roman;sans-serif" w:hAnsi="Times New Roman;sans-serif"/>
                  <w:b w:val="false"/>
                  <w:color w:val="000080"/>
                  <w:sz w:val="20"/>
                  <w:u w:val="single"/>
                </w:rPr>
                <w:t>.</w:t>
              </w:r>
            </w:hyperlink>
            <w:hyperlink w:anchor="ex32-thirdamendedandrestat.htm">
              <w:r>
                <w:rPr>
                  <w:rStyle w:val="InternetLink"/>
                  <w:rFonts w:ascii="Times New Roman;sans-serif" w:hAnsi="Times New Roman;sans-serif"/>
                  <w:b w:val="false"/>
                  <w:color w:val="000080"/>
                  <w:sz w:val="20"/>
                  <w:u w:val="single"/>
                </w:rPr>
                <w:t>(†)</w:t>
              </w:r>
            </w:hyperlink>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33-certificateofwithdraw.htm">
              <w:r>
                <w:rPr>
                  <w:rStyle w:val="InternetLink"/>
                  <w:rFonts w:ascii="Times New Roman;sans-serif" w:hAnsi="Times New Roman;sans-serif"/>
                  <w:b w:val="false"/>
                  <w:color w:val="0000FF"/>
                  <w:sz w:val="20"/>
                  <w:u w:val="single"/>
                </w:rPr>
                <w:t>Certificate of Withdrawal of Certificate of Designation of Series A Junior Participating Preferred Stock, filed with the Secretary of State of the State of Nevada on August 8, 2023.(†)</w:t>
              </w:r>
            </w:hyperlink>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8" w:type="dxa"/>
            <w:gridSpan w:val="3"/>
            <w:tcBorders/>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ex311-06302023.htm">
              <w:r>
                <w:rPr>
                  <w:rStyle w:val="InternetLink"/>
                  <w:rFonts w:ascii="Times New Roman;sans-serif" w:hAnsi="Times New Roman;sans-serif"/>
                  <w:b w:val="false"/>
                  <w:color w:val="0000FF"/>
                  <w:sz w:val="20"/>
                  <w:u w:val="single"/>
                </w:rPr>
                <w:t>Certification of the Chief Executive Officer of Light &amp; Wonder, Inc. pursuant to Rule 13a-14(a), as adopted pursuant to Section 302 of the Sarbanes-Oxley Act of 2002.(†)</w:t>
              </w:r>
            </w:hyperlink>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ex312-06302023.htm">
              <w:r>
                <w:rPr>
                  <w:rStyle w:val="InternetLink"/>
                  <w:rFonts w:ascii="Times New Roman;sans-serif" w:hAnsi="Times New Roman;sans-serif"/>
                  <w:b w:val="false"/>
                  <w:color w:val="0000FF"/>
                  <w:sz w:val="20"/>
                  <w:u w:val="single"/>
                </w:rPr>
                <w:t>Certification of the Chief Financial Officer of Light &amp; Wonder, Inc. pursuant to Rule 13a-14(a), as adopted pursuant to Section 302 of the Sarbanes-Oxley Act of 2002.(†)</w:t>
              </w:r>
            </w:hyperlink>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ex321-06302023.htm">
              <w:r>
                <w:rPr>
                  <w:rStyle w:val="InternetLink"/>
                  <w:rFonts w:ascii="Times New Roman;sans-serif" w:hAnsi="Times New Roman;sans-serif"/>
                  <w:b w:val="false"/>
                  <w:color w:val="0000FF"/>
                  <w:sz w:val="20"/>
                  <w:u w:val="single"/>
                </w:rPr>
                <w:t>Certification of the Chief Executive Officer of Light &amp; Wonder, Inc. pursuant to Rule 13a-14(b) and 18 U.S.C. Section 1350, as adopted pursuant to Section 906 of the Sarbanes-Oxley Act of 2002.*</w:t>
              </w:r>
            </w:hyperlink>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hyperlink w:anchor="ex322-06302023.htm">
              <w:r>
                <w:rPr>
                  <w:rStyle w:val="InternetLink"/>
                  <w:rFonts w:ascii="Times New Roman;sans-serif" w:hAnsi="Times New Roman;sans-serif"/>
                  <w:b w:val="false"/>
                  <w:color w:val="0000FF"/>
                  <w:sz w:val="20"/>
                  <w:u w:val="single"/>
                </w:rPr>
                <w:t>Certification of the Chief Financial Officer of Light &amp; Wonder, Inc. pursuant to Rule 13a-14(b) and 18 U.S.C. Section 1350, as adopted pursuant to Section 906 of the Sarbanes-Oxley Act of 2002.*</w:t>
              </w:r>
            </w:hyperlink>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Label Linkbase Document</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9"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232"/>
        <w:gridCol w:w="205"/>
        <w:gridCol w:w="207"/>
        <w:gridCol w:w="410"/>
        <w:gridCol w:w="410"/>
        <w:gridCol w:w="412"/>
        <w:gridCol w:w="311"/>
        <w:gridCol w:w="311"/>
        <w:gridCol w:w="311"/>
        <w:gridCol w:w="2204"/>
        <w:gridCol w:w="2129"/>
        <w:gridCol w:w="3063"/>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LIGHT &amp; WONDER, INC.</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9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Constance P. James</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Constance P. James</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39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Treasurer, Corporate Secretary, and Principal Accounting Officer</w:t>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7396" w:type="dxa"/>
            <w:gridSpan w:val="3"/>
            <w:tcBorders/>
            <w:vAlign w:val="center"/>
          </w:tcPr>
          <w:p>
            <w:pPr>
              <w:pStyle w:val="TableContents"/>
              <w:bidi w:val="0"/>
              <w:spacing w:before="0" w:after="283"/>
              <w:jc w:val="left"/>
              <w:rPr>
                <w:sz w:val="4"/>
                <w:szCs w:val="4"/>
              </w:rPr>
            </w:pPr>
            <w:r>
              <w:rPr>
                <w:sz w:val="4"/>
                <w:szCs w:val="4"/>
              </w:rPr>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7396" w:type="dxa"/>
            <w:gridSpan w:val="3"/>
            <w:tcBorders/>
            <w:vAlign w:val="center"/>
          </w:tcPr>
          <w:p>
            <w:pPr>
              <w:pStyle w:val="TableContents"/>
              <w:bidi w:val="0"/>
              <w:spacing w:before="0" w:after="283"/>
              <w:jc w:val="left"/>
              <w:rPr>
                <w:sz w:val="4"/>
                <w:szCs w:val="4"/>
              </w:rPr>
            </w:pPr>
            <w:r>
              <w:rPr>
                <w:sz w:val="4"/>
                <w:szCs w:val="4"/>
              </w:rPr>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7396" w:type="dxa"/>
            <w:gridSpan w:val="3"/>
            <w:tcBorders/>
            <w:vAlign w:val="center"/>
          </w:tcPr>
          <w:p>
            <w:pPr>
              <w:pStyle w:val="TableContents"/>
              <w:bidi w:val="0"/>
              <w:spacing w:before="0" w:after="283"/>
              <w:jc w:val="left"/>
              <w:rPr>
                <w:sz w:val="4"/>
                <w:szCs w:val="4"/>
              </w:rPr>
            </w:pPr>
            <w:r>
              <w:rPr>
                <w:sz w:val="4"/>
                <w:szCs w:val="4"/>
              </w:rPr>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7396" w:type="dxa"/>
            <w:gridSpan w:val="3"/>
            <w:tcBorders/>
            <w:vAlign w:val="center"/>
          </w:tcPr>
          <w:p>
            <w:pPr>
              <w:pStyle w:val="TableContents"/>
              <w:bidi w:val="0"/>
              <w:spacing w:before="0" w:after="283"/>
              <w:jc w:val="left"/>
              <w:rPr>
                <w:sz w:val="4"/>
                <w:szCs w:val="4"/>
              </w:rPr>
            </w:pPr>
            <w:r>
              <w:rPr>
                <w:sz w:val="4"/>
                <w:szCs w:val="4"/>
              </w:rPr>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7396" w:type="dxa"/>
            <w:gridSpan w:val="3"/>
            <w:tcBorders/>
            <w:vAlign w:val="center"/>
          </w:tcPr>
          <w:p>
            <w:pPr>
              <w:pStyle w:val="TableContents"/>
              <w:bidi w:val="0"/>
              <w:spacing w:before="0" w:after="283"/>
              <w:jc w:val="left"/>
              <w:rPr>
                <w:sz w:val="4"/>
                <w:szCs w:val="4"/>
              </w:rPr>
            </w:pPr>
            <w:r>
              <w:rPr>
                <w:sz w:val="4"/>
                <w:szCs w:val="4"/>
              </w:rPr>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7396" w:type="dxa"/>
            <w:gridSpan w:val="3"/>
            <w:tcBorders/>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7396" w:type="dxa"/>
            <w:gridSpan w:val="3"/>
            <w:tcBorders/>
            <w:vAlign w:val="center"/>
          </w:tcPr>
          <w:p>
            <w:pPr>
              <w:pStyle w:val="TableContents"/>
              <w:bidi w:val="0"/>
              <w:spacing w:before="0" w:after="283"/>
              <w:jc w:val="left"/>
              <w:rPr>
                <w:sz w:val="4"/>
                <w:szCs w:val="4"/>
              </w:rPr>
            </w:pPr>
            <w:r>
              <w:rPr>
                <w:sz w:val="4"/>
                <w:szCs w:val="4"/>
              </w:rPr>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7396" w:type="dxa"/>
            <w:gridSpan w:val="3"/>
            <w:tcBorders/>
            <w:vAlign w:val="center"/>
          </w:tcPr>
          <w:p>
            <w:pPr>
              <w:pStyle w:val="TableContents"/>
              <w:bidi w:val="0"/>
              <w:spacing w:before="0" w:after="283"/>
              <w:jc w:val="left"/>
              <w:rPr>
                <w:sz w:val="4"/>
                <w:szCs w:val="4"/>
              </w:rPr>
            </w:pPr>
            <w:r>
              <w:rPr>
                <w:sz w:val="4"/>
                <w:szCs w:val="4"/>
              </w:rPr>
            </w:r>
          </w:p>
        </w:tc>
      </w:tr>
      <w:tr>
        <w:trPr/>
        <w:tc>
          <w:tcPr>
            <w:tcW w:w="6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7396" w:type="dxa"/>
            <w:gridSpan w:val="3"/>
            <w:tcBorders/>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0"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45" w:before="0" w:after="0"/>
        <w:jc w:val="right"/>
        <w:rPr>
          <w:rFonts w:ascii="Times New Roman;sans-serif" w:hAnsi="Times New Roman;sans-serif"/>
          <w:b/>
          <w:color w:val="000000"/>
          <w:sz w:val="23"/>
        </w:rPr>
      </w:pPr>
      <w:r>
        <w:rPr>
          <w:rFonts w:ascii="Times New Roman;sans-serif" w:hAnsi="Times New Roman;sans-serif"/>
          <w:b/>
          <w:color w:val="000000"/>
          <w:sz w:val="23"/>
        </w:rPr>
        <w:t>Exhibit 3.2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3"/>
        </w:rPr>
      </w:pPr>
      <w:r>
        <w:rPr>
          <w:rFonts w:ascii="Times New Roman;sans-serif" w:hAnsi="Times New Roman;sans-serif"/>
          <w:b/>
          <w:color w:val="000000"/>
          <w:sz w:val="23"/>
        </w:rPr>
        <w:t xml:space="preserve">THIRD AMENDED AND RESTATED </w:t>
        <w:br/>
        <w:t xml:space="preserve">BYLAWS OF </w:t>
        <w:br/>
        <w:t>LIGHT &amp; WONDER,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3"/>
        </w:rPr>
      </w:pPr>
      <w:r>
        <w:rPr>
          <w:rFonts w:ascii="Times New Roman;sans-serif" w:hAnsi="Times New Roman;sans-serif"/>
          <w:b/>
          <w:color w:val="000000"/>
          <w:sz w:val="23"/>
        </w:rPr>
        <w:t>ARTICLE I</w: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Offices, Corporate Seal</w:t>
      </w:r>
    </w:p>
    <w:p>
      <w:pPr>
        <w:pStyle w:val="TextBody"/>
        <w:bidi w:val="0"/>
        <w:spacing w:lineRule="auto" w:line="288" w:before="0" w:after="240"/>
        <w:ind w:left="0" w:right="0" w:firstLine="720"/>
        <w:jc w:val="left"/>
        <w:rPr/>
      </w:pPr>
      <w:r>
        <w:rPr>
          <w:rFonts w:ascii="Times New Roman;sans-serif" w:hAnsi="Times New Roman;sans-serif"/>
          <w:b w:val="false"/>
          <w:color w:val="000000"/>
          <w:sz w:val="23"/>
        </w:rPr>
        <w:t>Section 1.01</w:t>
      </w:r>
      <w:r>
        <w:rPr>
          <w:color w:val="000000"/>
        </w:rPr>
        <w:t>    </w:t>
      </w:r>
      <w:r>
        <w:rPr>
          <w:rFonts w:ascii="Times New Roman;sans-serif" w:hAnsi="Times New Roman;sans-serif"/>
          <w:b/>
          <w:color w:val="000000"/>
          <w:sz w:val="23"/>
          <w:u w:val="single"/>
        </w:rPr>
        <w:t>Offices</w:t>
      </w:r>
      <w:r>
        <w:rPr>
          <w:rFonts w:ascii="Times New Roman;sans-serif" w:hAnsi="Times New Roman;sans-serif"/>
          <w:b w:val="false"/>
          <w:color w:val="000000"/>
          <w:sz w:val="23"/>
        </w:rPr>
        <w:t>. Light &amp; Wonder, Inc., a Nevada corporation (the “</w:t>
      </w:r>
      <w:r>
        <w:rPr>
          <w:rFonts w:ascii="Times New Roman;sans-serif" w:hAnsi="Times New Roman;sans-serif"/>
          <w:b/>
          <w:color w:val="000000"/>
          <w:sz w:val="23"/>
          <w:u w:val="single"/>
        </w:rPr>
        <w:t>Corporation</w:t>
      </w:r>
      <w:r>
        <w:rPr>
          <w:color w:val="000000"/>
        </w:rPr>
        <w:t>”</w:t>
      </w:r>
      <w:r>
        <w:rPr>
          <w:rFonts w:ascii="Times New Roman;sans-serif" w:hAnsi="Times New Roman;sans-serif"/>
          <w:b w:val="false"/>
          <w:color w:val="000000"/>
          <w:sz w:val="23"/>
        </w:rPr>
        <w:t>), shall have a registered office, a principal office and such other offices as the board of directors of the Corporation (the “</w:t>
      </w:r>
      <w:r>
        <w:rPr>
          <w:rFonts w:ascii="Times New Roman;sans-serif" w:hAnsi="Times New Roman;sans-serif"/>
          <w:b/>
          <w:color w:val="000000"/>
          <w:sz w:val="23"/>
          <w:u w:val="single"/>
        </w:rPr>
        <w:t>Board of Directors</w:t>
      </w:r>
      <w:r>
        <w:rPr>
          <w:color w:val="000000"/>
        </w:rPr>
        <w:t>”</w:t>
      </w:r>
      <w:r>
        <w:rPr>
          <w:rFonts w:ascii="Times New Roman;sans-serif" w:hAnsi="Times New Roman;sans-serif"/>
          <w:b w:val="false"/>
          <w:color w:val="000000"/>
          <w:sz w:val="23"/>
        </w:rPr>
        <w:t>) may determine.</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1.02</w:t>
      </w:r>
      <w:r>
        <w:rPr>
          <w:color w:val="000000"/>
        </w:rPr>
        <w:t>    </w:t>
      </w:r>
      <w:r>
        <w:rPr>
          <w:rFonts w:ascii="Times New Roman;sans-serif" w:hAnsi="Times New Roman;sans-serif"/>
          <w:b/>
          <w:color w:val="000000"/>
          <w:sz w:val="23"/>
          <w:u w:val="single"/>
        </w:rPr>
        <w:t>Corporate Seal</w:t>
      </w:r>
      <w:r>
        <w:rPr>
          <w:rFonts w:ascii="Times New Roman;sans-serif" w:hAnsi="Times New Roman;sans-serif"/>
          <w:b w:val="false"/>
          <w:color w:val="000000"/>
          <w:sz w:val="23"/>
        </w:rPr>
        <w:t>. There shall be no corporate seal.</w:t>
      </w:r>
    </w:p>
    <w:p>
      <w:pPr>
        <w:pStyle w:val="TextBody"/>
        <w:bidi w:val="0"/>
        <w:spacing w:lineRule="auto" w:line="268" w:before="0" w:after="240"/>
        <w:jc w:val="center"/>
        <w:rPr>
          <w:rFonts w:ascii="Times New Roman;sans-serif" w:hAnsi="Times New Roman;sans-serif"/>
          <w:b/>
          <w:color w:val="000000"/>
          <w:sz w:val="23"/>
        </w:rPr>
      </w:pPr>
      <w:r>
        <w:rPr>
          <w:rFonts w:ascii="Times New Roman;sans-serif" w:hAnsi="Times New Roman;sans-serif"/>
          <w:b/>
          <w:color w:val="000000"/>
          <w:sz w:val="23"/>
        </w:rPr>
        <w:t xml:space="preserve">ARTICLE II </w:t>
        <w:br/>
        <w:t>Meetings of Stockholders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2.01    </w:t>
      </w:r>
      <w:r>
        <w:rPr>
          <w:rFonts w:ascii="Times New Roman;sans-serif" w:hAnsi="Times New Roman;sans-serif"/>
          <w:b/>
          <w:color w:val="000000"/>
          <w:sz w:val="23"/>
          <w:u w:val="single"/>
        </w:rPr>
        <w:t>Place and Time of Meetings</w:t>
      </w:r>
      <w:r>
        <w:rPr>
          <w:rFonts w:ascii="Times New Roman;sans-serif" w:hAnsi="Times New Roman;sans-serif"/>
          <w:b w:val="false"/>
          <w:color w:val="000000"/>
          <w:sz w:val="23"/>
        </w:rPr>
        <w:t>. Meetings of the stockholders may be held at such place, on such date and at such time as may be designated by the Board of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2.02    </w:t>
      </w:r>
      <w:r>
        <w:rPr>
          <w:rFonts w:ascii="Times New Roman;sans-serif" w:hAnsi="Times New Roman;sans-serif"/>
          <w:b/>
          <w:color w:val="000000"/>
          <w:sz w:val="23"/>
          <w:u w:val="single"/>
        </w:rPr>
        <w:t>Annual Meetings</w:t>
      </w:r>
      <w:r>
        <w:rPr>
          <w:rFonts w:ascii="Times New Roman;sans-serif" w:hAnsi="Times New Roman;sans-serif"/>
          <w:b w:val="false"/>
          <w:color w:val="000000"/>
          <w:sz w:val="23"/>
        </w:rPr>
        <w:t>. The annual meeting of the stockholders of the Corporation shall be held at such place, on such date and at such time as designated by the Board of Directors. The purpose of this meeting shall be for the election of directors and for the transaction of such other business as may properly come before the meeting. Except as otherwise restricted by the articles of incorporation of the Corporation (as amended or amended and restated from time to time, the “</w:t>
      </w:r>
      <w:r>
        <w:rPr>
          <w:rFonts w:ascii="Times New Roman;sans-serif" w:hAnsi="Times New Roman;sans-serif"/>
          <w:b/>
          <w:color w:val="000000"/>
          <w:sz w:val="23"/>
          <w:u w:val="single"/>
        </w:rPr>
        <w:t>Articles of Incorporation</w:t>
      </w:r>
      <w:r>
        <w:rPr>
          <w:color w:val="000000"/>
        </w:rPr>
        <w:t>”</w:t>
      </w:r>
      <w:r>
        <w:rPr>
          <w:rFonts w:ascii="Times New Roman;sans-serif" w:hAnsi="Times New Roman;sans-serif"/>
          <w:b w:val="false"/>
          <w:color w:val="000000"/>
          <w:sz w:val="23"/>
        </w:rPr>
        <w:t>) or applicable law, the Board of Directors may postpone, reschedule or cancel any annual meeting of stockholders.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2.03    </w:t>
      </w:r>
      <w:r>
        <w:rPr>
          <w:rFonts w:ascii="Times New Roman;sans-serif" w:hAnsi="Times New Roman;sans-serif"/>
          <w:b/>
          <w:color w:val="000000"/>
          <w:sz w:val="23"/>
          <w:u w:val="single"/>
        </w:rPr>
        <w:t>Special Meetings</w:t>
      </w:r>
      <w:r>
        <w:rPr>
          <w:rFonts w:ascii="Times New Roman;sans-serif" w:hAnsi="Times New Roman;sans-serif"/>
          <w:b w:val="false"/>
          <w:color w:val="000000"/>
          <w:sz w:val="23"/>
        </w:rPr>
        <w:t xml:space="preserve">. Special meetings of the stockholders for any purpose or purposes shall be called by the Secretary at the written request of a majority of the total number of directors, by </w:t>
      </w:r>
      <w:r>
        <w:rPr>
          <w:rFonts w:ascii="Times New Roman;sans-serif" w:hAnsi="Times New Roman;sans-serif"/>
          <w:b w:val="false"/>
          <w:color w:val="010000"/>
          <w:sz w:val="23"/>
        </w:rPr>
        <w:t>the</w:t>
      </w:r>
      <w:r>
        <w:rPr>
          <w:color w:val="000000"/>
        </w:rPr>
        <w:t xml:space="preserve"> </w:t>
      </w:r>
      <w:r>
        <w:rPr>
          <w:rFonts w:ascii="Times New Roman;sans-serif" w:hAnsi="Times New Roman;sans-serif"/>
          <w:b w:val="false"/>
          <w:color w:val="000000"/>
          <w:sz w:val="23"/>
        </w:rPr>
        <w:t>Chair of the Board, by the President or by the stockholders owning a majority of the shares outstanding and entitled to vote. Such request shall state the purpose or purposes of the proposed meeting. Business transacted at any special meeting shall be limited to the purposes stated in the notice. Except as otherwise restricted by the Articles of Incorporation or applicable law, the Board of Directors may postpone, reschedule or cancel any special meeting of stockholders.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2.04    </w:t>
      </w:r>
      <w:r>
        <w:rPr>
          <w:rFonts w:ascii="Times New Roman;sans-serif" w:hAnsi="Times New Roman;sans-serif"/>
          <w:b/>
          <w:color w:val="000000"/>
          <w:sz w:val="23"/>
          <w:u w:val="single"/>
        </w:rPr>
        <w:t>Quorum; Adjourned Meetings</w:t>
      </w:r>
      <w:r>
        <w:rPr>
          <w:rFonts w:ascii="Times New Roman;sans-serif" w:hAnsi="Times New Roman;sans-serif"/>
          <w:b w:val="false"/>
          <w:color w:val="000000"/>
          <w:sz w:val="23"/>
        </w:rPr>
        <w:t xml:space="preserve">. The holders of a majority of the shares outstanding and entitled to vote present in person or by proxy (regardless of whether the proxy has authority to vote on any matter) shall constitute a quorum for the transaction of business at any annual or </w:t>
      </w:r>
      <w:r>
        <w:rPr>
          <w:rFonts w:ascii="Times New Roman;sans-serif" w:hAnsi="Times New Roman;sans-serif"/>
          <w:b w:val="false"/>
          <w:color w:val="010000"/>
          <w:sz w:val="23"/>
        </w:rPr>
        <w:t>special</w:t>
      </w:r>
      <w:r>
        <w:rPr>
          <w:color w:val="000000"/>
        </w:rPr>
        <w:t xml:space="preserve"> </w:t>
      </w:r>
      <w:r>
        <w:rPr>
          <w:rFonts w:ascii="Times New Roman;sans-serif" w:hAnsi="Times New Roman;sans-serif"/>
          <w:b w:val="false"/>
          <w:color w:val="000000"/>
          <w:sz w:val="23"/>
        </w:rPr>
        <w:t xml:space="preserve">meeting. If a quorum is not present at a meeting, those present shall adjourn to such day as they shall agree upon by majority vote. Notice of any adjourned meeting need not be given if the time and place thereof are announced at the meeting at which the adjournment is taken.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However, if a new record date is fixed for the adjourned meeting, notice of the adjourned meeting must be given to each stockholder of record as of the new record date. At adjourned meetings at which a quorum is present, any business may be transacted which might have been transacted at the meeting as originally noticed. If a quorum is present, the stockholders may continue to transact business until adjournment notwithstanding the withdrawal of enough stockholders to leave less than a quorum.</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2.05    </w:t>
      </w:r>
      <w:r>
        <w:rPr>
          <w:rFonts w:ascii="Times New Roman;sans-serif" w:hAnsi="Times New Roman;sans-serif"/>
          <w:b/>
          <w:color w:val="000000"/>
          <w:sz w:val="23"/>
          <w:u w:val="single"/>
        </w:rPr>
        <w:t>Organization</w:t>
      </w:r>
      <w:r>
        <w:rPr>
          <w:rFonts w:ascii="Times New Roman;sans-serif" w:hAnsi="Times New Roman;sans-serif"/>
          <w:b w:val="false"/>
          <w:color w:val="000000"/>
          <w:sz w:val="23"/>
        </w:rPr>
        <w:t>. At each meeting of the stockholders, the Chair of the Board or in his or her absence the President or in his or her absence the chair chosen by a majority of the voting power of the stockholders present in person or proxy shall act as chair; and the Secretary of the Corporation, or in his or her absence an Assistant Secretary, or in his or her absence any person whom the chair of the meeting shall appoint, shall act as secretary of the meeting.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2.06    </w:t>
      </w:r>
      <w:r>
        <w:rPr>
          <w:rFonts w:ascii="Times New Roman;sans-serif" w:hAnsi="Times New Roman;sans-serif"/>
          <w:b/>
          <w:color w:val="000000"/>
          <w:sz w:val="23"/>
          <w:u w:val="single"/>
        </w:rPr>
        <w:t>Voting</w:t>
      </w:r>
      <w:r>
        <w:rPr>
          <w:rFonts w:ascii="Times New Roman;sans-serif" w:hAnsi="Times New Roman;sans-serif"/>
          <w:b w:val="false"/>
          <w:color w:val="000000"/>
          <w:sz w:val="23"/>
        </w:rPr>
        <w:t>. Each stockholder of the Corporation entitled to vote at a meeting of stockholders shall be entitled to one vote in person or by proxy for each share of stock having voting rights held by such stockholder and registered in his, her or its name on the books of the Corporation. Upon the request of any stockholder present in person or by proxy at any meeting of the stockholders and entitled to vote at such meeting, or if directed by the chair of the meeting in his or her discretion, the vote on any question before a meeting or the election of directors shall be by written ballot. All questions at a meeting, other than the election of directors (as provided below), shall be decided by a majority vote of the number of shares entitled to vote represented at the meeting at the time of the vote except where otherwise required by statute, the Articles of Incorporation or these Amended and Restated Bylaws (as amended or amended and restated from time to time, the “</w:t>
      </w:r>
      <w:r>
        <w:rPr>
          <w:rFonts w:ascii="Times New Roman;sans-serif" w:hAnsi="Times New Roman;sans-serif"/>
          <w:b/>
          <w:color w:val="000000"/>
          <w:sz w:val="23"/>
          <w:u w:val="single"/>
        </w:rPr>
        <w:t>Bylaws</w:t>
      </w:r>
      <w:r>
        <w:rPr>
          <w:color w:val="000000"/>
        </w:rPr>
        <w:t>”</w:t>
      </w:r>
      <w:r>
        <w:rPr>
          <w:rFonts w:ascii="Times New Roman;sans-serif" w:hAnsi="Times New Roman;sans-serif"/>
          <w:b w:val="false"/>
          <w:color w:val="000000"/>
          <w:sz w:val="23"/>
        </w:rPr>
        <w:t>). For the election of directors, the persons receiving the largest number of votes cast (up to and including the number of directors to be elected) shall be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2.07    </w:t>
      </w:r>
      <w:r>
        <w:rPr>
          <w:rFonts w:ascii="Times New Roman;sans-serif" w:hAnsi="Times New Roman;sans-serif"/>
          <w:b/>
          <w:color w:val="000000"/>
          <w:sz w:val="23"/>
          <w:u w:val="single"/>
        </w:rPr>
        <w:t>Inspectors of Election</w:t>
      </w:r>
      <w:r>
        <w:rPr>
          <w:rFonts w:ascii="Times New Roman;sans-serif" w:hAnsi="Times New Roman;sans-serif"/>
          <w:b w:val="false"/>
          <w:color w:val="000000"/>
          <w:sz w:val="23"/>
        </w:rPr>
        <w:t>. At each meeting of the stockholders, the chair of such meeting may appoint two inspectors of election. Each inspector of election so appointed shall first subscribe an oath or affirmation to execute the duties of an inspector of election at such meeting with strict impartiality and according to the best of his or her ability. Such inspectors of election, if any, may (a) ascertain the number of shares outstanding and the voting power of each; (b) determine the number of shares represented at a meeting and the validity of the proxies or ballots; (c) count all votes and ballots; (d) determine any challenges made to any determination made by the inspectors; (e) certify in a report in writing to the secretary of such meeting the determination of the number of shares represented at the meeting and the results of all votes and ballots. An inspector of election need not be a stockholder of the Corporation, and any officer or employee of the Corporation may be an inspector of election on any question other than a vote for or against his or her election to any position with the Corporation or on any other question in which he or she may be directly interested.</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2.08    </w:t>
      </w:r>
      <w:r>
        <w:rPr>
          <w:rFonts w:ascii="Times New Roman;sans-serif" w:hAnsi="Times New Roman;sans-serif"/>
          <w:b/>
          <w:color w:val="000000"/>
          <w:sz w:val="23"/>
          <w:u w:val="single"/>
        </w:rPr>
        <w:t>Notices of Meetings and Consents</w:t>
      </w:r>
      <w:r>
        <w:rPr>
          <w:rFonts w:ascii="Times New Roman;sans-serif" w:hAnsi="Times New Roman;sans-serif"/>
          <w:b w:val="false"/>
          <w:color w:val="000000"/>
          <w:sz w:val="23"/>
        </w:rPr>
        <w:t>. Except as otherwise provided by the Articles of Incorporation or by the Nevada Revised Statutes (as amended from time to time, the “</w:t>
      </w:r>
      <w:r>
        <w:rPr>
          <w:rFonts w:ascii="Times New Roman;sans-serif" w:hAnsi="Times New Roman;sans-serif"/>
          <w:b/>
          <w:color w:val="000000"/>
          <w:sz w:val="23"/>
          <w:u w:val="single"/>
        </w:rPr>
        <w:t>NRS</w:t>
      </w:r>
      <w:r>
        <w:rPr>
          <w:color w:val="000000"/>
        </w:rPr>
        <w:t>”</w:t>
      </w:r>
      <w:r>
        <w:rPr>
          <w:rFonts w:ascii="Times New Roman;sans-serif" w:hAnsi="Times New Roman;sans-serif"/>
          <w:b w:val="false"/>
          <w:color w:val="000000"/>
          <w:sz w:val="23"/>
        </w:rPr>
        <w:t xml:space="preserve">), a written </w:t>
      </w:r>
      <w:r>
        <w:rPr>
          <w:rFonts w:ascii="Times New Roman;sans-serif" w:hAnsi="Times New Roman;sans-serif"/>
          <w:b w:val="false"/>
          <w:color w:val="010000"/>
          <w:sz w:val="23"/>
        </w:rPr>
        <w:t>notice</w:t>
      </w:r>
      <w:r>
        <w:rPr>
          <w:color w:val="000000"/>
        </w:rPr>
        <w:t xml:space="preserve"> </w:t>
      </w:r>
      <w:r>
        <w:rPr>
          <w:rFonts w:ascii="Times New Roman;sans-serif" w:hAnsi="Times New Roman;sans-serif"/>
          <w:b w:val="false"/>
          <w:color w:val="000000"/>
          <w:sz w:val="23"/>
        </w:rPr>
        <w:t xml:space="preserve">of each annual and special meeting of stockholders shall be given not less than 10 nor more than 60 days before the date of such meeting to each stockholder of record of the Corporation entitled to vote at such meeting by delivering such notice of meeting to such stockholder personally or depositing the same in the United States mail, postage prepaid, directed to him or her at the post office address shown upon the records of the Corporation. Service of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77190"/>
                <wp:effectExtent l="0" t="0" r="0" b="0"/>
                <wp:wrapNone/>
                <wp:docPr id="62" name="Frame48"/>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notice is complete upon mailing. Every notice of a meeting of stockholders shall state the place, date and hour of the meeting, the means of electronic communication, if any, by which the stockholder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NRS, including, without limitation, NRS 78.379, 92A.120 or 92A.410</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2.09    </w:t>
      </w:r>
      <w:r>
        <w:rPr>
          <w:rFonts w:ascii="Times New Roman;sans-serif" w:hAnsi="Times New Roman;sans-serif"/>
          <w:b/>
          <w:color w:val="000000"/>
          <w:sz w:val="23"/>
          <w:u w:val="single"/>
        </w:rPr>
        <w:t>Proxies</w:t>
      </w:r>
      <w:r>
        <w:rPr>
          <w:rFonts w:ascii="Times New Roman;sans-serif" w:hAnsi="Times New Roman;sans-serif"/>
          <w:b w:val="false"/>
          <w:color w:val="000000"/>
          <w:sz w:val="23"/>
        </w:rPr>
        <w:t xml:space="preserve">. Each stockholder entitled to vote at a meeting of stockholders may authorize a proxy to represent him or her at the meeting by an instrument executed in writing. Each such proxy shall be valid until its expiration or revocation in a manner permitted by the laws of the State of Nevada. A proxy may be irrevocable if it states that it is irrevocable and, if, and only as long as, it is coupled with an interest sufficient to support an irrevocable power. Subject to the above, any proxy may be revoked if an instrument or transmission revoking it or a properly created </w:t>
      </w:r>
      <w:r>
        <w:rPr>
          <w:rFonts w:ascii="Times New Roman;sans-serif" w:hAnsi="Times New Roman;sans-serif"/>
          <w:b w:val="false"/>
          <w:color w:val="010000"/>
          <w:sz w:val="23"/>
        </w:rPr>
        <w:t>proxy</w:t>
      </w:r>
      <w:r>
        <w:rPr>
          <w:color w:val="000000"/>
        </w:rPr>
        <w:t xml:space="preserve"> </w:t>
      </w:r>
      <w:r>
        <w:rPr>
          <w:rFonts w:ascii="Times New Roman;sans-serif" w:hAnsi="Times New Roman;sans-serif"/>
          <w:b w:val="false"/>
          <w:color w:val="000000"/>
          <w:sz w:val="23"/>
        </w:rPr>
        <w:t>bearing a later date is filed with or transmitted to the Secretary or another person appointed by the Corporation to count the votes of stockholders and determine the validity of proxies and ballots, or, in the case of a meeting of stockholders, the stockholder revokes the proxy by attending the meeting and voting the stockholder’s shares in person, in which case, any vote cast by the person or persons designated by the stockholder to act as a proxy or proxies must be disregarded by the Corporation when the votes are counted. In the event the Corporation receives proxies for disqualified or withdrawn nominees for the Board of Directors, such votes for disqualified or withdrawn nominees in the proxies will be treated as abstentions. To the extent any stockholder uses its own proxy card in connection with directly or indirectly soliciting proxies from other stockholders, such proxy card must use a proxy card other than white, which shall be reserved for the exclusive use by the Board of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2.10    </w:t>
      </w:r>
      <w:r>
        <w:rPr>
          <w:rFonts w:ascii="Times New Roman;sans-serif" w:hAnsi="Times New Roman;sans-serif"/>
          <w:b/>
          <w:color w:val="000000"/>
          <w:sz w:val="23"/>
          <w:u w:val="single"/>
        </w:rPr>
        <w:t>Waiver of Notice</w:t>
      </w:r>
      <w:r>
        <w:rPr>
          <w:rFonts w:ascii="Times New Roman;sans-serif" w:hAnsi="Times New Roman;sans-serif"/>
          <w:b w:val="false"/>
          <w:color w:val="000000"/>
          <w:sz w:val="23"/>
        </w:rPr>
        <w:t>. Notice of any annual or special meeting may be waived either before, at or after such meeting in writing signed or by transmission of an electronic record by the person or persons entitled to the notice. Attendance of a person at a meeting shall constitute a waiver of notice of such meeting, except when the person attends a meeting for the express purpose of objecting at the beginning of the meeting to the transacting of any business because the meeting is not lawfully called or convened.</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2.11    </w:t>
      </w:r>
      <w:r>
        <w:rPr>
          <w:rFonts w:ascii="Times New Roman;sans-serif" w:hAnsi="Times New Roman;sans-serif"/>
          <w:b/>
          <w:color w:val="000000"/>
          <w:sz w:val="23"/>
          <w:u w:val="single"/>
        </w:rPr>
        <w:t>Written Action</w:t>
      </w:r>
      <w:r>
        <w:rPr>
          <w:rFonts w:ascii="Times New Roman;sans-serif" w:hAnsi="Times New Roman;sans-serif"/>
          <w:b w:val="false"/>
          <w:color w:val="000000"/>
          <w:sz w:val="23"/>
        </w:rPr>
        <w:t xml:space="preserve">. Any action that may be taken at a meeting of the stockholders may be taken without a meeting, without prior notice and without a vote, if a consent in writing, setting forth the actions so taken, shall be signed by the holders of outstanding stock having not less than the minimum number of votes that would be required to authorize or take </w:t>
      </w:r>
      <w:r>
        <w:rPr>
          <w:rFonts w:ascii="Times New Roman;sans-serif" w:hAnsi="Times New Roman;sans-serif"/>
          <w:b w:val="false"/>
          <w:color w:val="010000"/>
          <w:sz w:val="23"/>
        </w:rPr>
        <w:t>such</w:t>
      </w:r>
      <w:r>
        <w:rPr>
          <w:color w:val="000000"/>
        </w:rPr>
        <w:t xml:space="preserve"> </w:t>
      </w:r>
      <w:r>
        <w:rPr>
          <w:rFonts w:ascii="Times New Roman;sans-serif" w:hAnsi="Times New Roman;sans-serif"/>
          <w:b w:val="false"/>
          <w:color w:val="000000"/>
          <w:sz w:val="23"/>
        </w:rPr>
        <w:t>action at a meeting at which all shares entitled to vote thereon were present and voted.</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2.12    </w:t>
      </w:r>
      <w:r>
        <w:rPr>
          <w:rFonts w:ascii="Times New Roman;sans-serif" w:hAnsi="Times New Roman;sans-serif"/>
          <w:b/>
          <w:color w:val="000000"/>
          <w:sz w:val="23"/>
          <w:u w:val="single"/>
        </w:rPr>
        <w:t>Order of Business</w:t>
      </w:r>
      <w:r>
        <w:rPr>
          <w:rFonts w:ascii="Times New Roman;sans-serif" w:hAnsi="Times New Roman;sans-serif"/>
          <w:b w:val="false"/>
          <w:color w:val="000000"/>
          <w:sz w:val="23"/>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3"/>
        </w:rPr>
        <w:t>(a)    </w:t>
      </w:r>
      <w:r>
        <w:rPr>
          <w:rFonts w:ascii="Times New Roman;sans-serif" w:hAnsi="Times New Roman;sans-serif"/>
          <w:b w:val="false"/>
          <w:color w:val="000000"/>
          <w:sz w:val="23"/>
          <w:u w:val="single"/>
        </w:rPr>
        <w:t>Annual Meetings of Stockholders</w:t>
      </w:r>
      <w:r>
        <w:rPr>
          <w:rFonts w:ascii="Times New Roman;sans-serif" w:hAnsi="Times New Roman;sans-serif"/>
          <w:b w:val="false"/>
          <w:color w:val="000000"/>
          <w:sz w:val="23"/>
        </w:rPr>
        <w:t xml:space="preserve">. At any annual or special meeting of the stockholders, only such business shall be conducted or considered (including, in the case of an annual meeting, nominations of persons for election to the Board of Directors), as shall have been properly brought before the meeting. For such business to be properly brought before an annual meeting, nominations and proposals of other business must be: (a) specified in the Corporation’s notice of meeting (or any supplement thereto) given by or at the direction of the Board of Directors, (b) otherwise properly brought before such meeting, by or at the direction of the Board of Directors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77190"/>
                <wp:effectExtent l="0" t="0" r="0" b="0"/>
                <wp:wrapNone/>
                <wp:docPr id="63" name="Frame49"/>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or (c) otherwise properly requested to be brought before such meeting by a stockholder of the Corporation in accordance with these Bylaws.</w:t>
      </w:r>
    </w:p>
    <w:p>
      <w:pPr>
        <w:pStyle w:val="TextBody"/>
        <w:bidi w:val="0"/>
        <w:spacing w:lineRule="auto" w:line="288" w:before="0" w:after="240"/>
        <w:ind w:left="0" w:right="0" w:firstLine="1440"/>
        <w:jc w:val="both"/>
        <w:rPr/>
      </w:pPr>
      <w:r>
        <w:rPr>
          <w:rFonts w:ascii="Times New Roman;sans-serif" w:hAnsi="Times New Roman;sans-serif"/>
          <w:b w:val="false"/>
          <w:color w:val="000000"/>
          <w:sz w:val="23"/>
        </w:rPr>
        <w:t>(b)    </w:t>
      </w:r>
      <w:r>
        <w:rPr>
          <w:rFonts w:ascii="Times New Roman;sans-serif" w:hAnsi="Times New Roman;sans-serif"/>
          <w:b w:val="false"/>
          <w:color w:val="000000"/>
          <w:sz w:val="23"/>
          <w:u w:val="single"/>
        </w:rPr>
        <w:t>General</w:t>
      </w:r>
      <w:r>
        <w:rPr>
          <w:rFonts w:ascii="Times New Roman;sans-serif" w:hAnsi="Times New Roman;sans-serif"/>
          <w:b w:val="false"/>
          <w:color w:val="000000"/>
          <w:sz w:val="23"/>
        </w:rPr>
        <w:t>. Except as otherwise provided by law, the Articles of Incorporation or these Bylaws, the chair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 notwithstanding that proxies in respect of such nomination or other proposal may have been received by the Corporation.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2.13    </w:t>
      </w:r>
      <w:r>
        <w:rPr>
          <w:rFonts w:ascii="Times New Roman;sans-serif" w:hAnsi="Times New Roman;sans-serif"/>
          <w:b/>
          <w:color w:val="000000"/>
          <w:sz w:val="23"/>
          <w:u w:val="single"/>
        </w:rPr>
        <w:t>Notice of Stockholder Business and Nominations</w:t>
      </w:r>
      <w:r>
        <w:rPr>
          <w:rFonts w:ascii="Times New Roman;sans-serif" w:hAnsi="Times New Roman;sans-serif"/>
          <w:b w:val="false"/>
          <w:color w:val="000000"/>
          <w:sz w:val="23"/>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3"/>
        </w:rPr>
        <w:t>(a)    </w:t>
      </w:r>
      <w:r>
        <w:rPr>
          <w:rFonts w:ascii="Times New Roman;sans-serif" w:hAnsi="Times New Roman;sans-serif"/>
          <w:b w:val="false"/>
          <w:color w:val="000000"/>
          <w:sz w:val="23"/>
          <w:u w:val="single"/>
        </w:rPr>
        <w:t>Timing Requirements</w:t>
      </w:r>
      <w:r>
        <w:rPr>
          <w:rFonts w:ascii="Times New Roman;sans-serif" w:hAnsi="Times New Roman;sans-serif"/>
          <w:b w:val="false"/>
          <w:color w:val="000000"/>
          <w:sz w:val="23"/>
        </w:rPr>
        <w:t xml:space="preserve">. With respect to any nominations or any other business to be brought before an annual meeting, a stockholder’s notice shall be considered timely if it is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Times New Roman;sans-serif" w:hAnsi="Times New Roman;sans-serif"/>
          <w:b w:val="false"/>
          <w:color w:val="000000"/>
          <w:sz w:val="23"/>
          <w:u w:val="single"/>
        </w:rPr>
        <w:t>provided</w:t>
      </w:r>
      <w:r>
        <w:rPr>
          <w:rFonts w:ascii="Times New Roman;sans-serif" w:hAnsi="Times New Roman;sans-serif"/>
          <w:b w:val="false"/>
          <w:color w:val="000000"/>
          <w:sz w:val="23"/>
        </w:rPr>
        <w:t xml:space="preserve">, </w:t>
      </w:r>
      <w:r>
        <w:rPr>
          <w:rFonts w:ascii="Times New Roman;sans-serif" w:hAnsi="Times New Roman;sans-serif"/>
          <w:b w:val="false"/>
          <w:color w:val="000000"/>
          <w:sz w:val="23"/>
          <w:u w:val="single"/>
        </w:rPr>
        <w:t>however</w:t>
      </w:r>
      <w:r>
        <w:rPr>
          <w:rFonts w:ascii="Times New Roman;sans-serif" w:hAnsi="Times New Roman;sans-serif"/>
          <w:b w:val="false"/>
          <w:color w:val="000000"/>
          <w:sz w:val="23"/>
        </w:rPr>
        <w:t xml:space="preserve">, that in the event that the date of the annual meeting is more than thirty (30) days before or more than sixty (60)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    With respect to any business to be properly requested to be brought before a special meeting, a stockholder’s notice shall be considered timely if it is delivered to the Secretary at the principal executive offices of the Corporation not earlier than the close of business on the one hundred twentieth (120th) day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by the Corporation of the date of the special meeting.</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(ii)    Except as required by the NRS or Section 8.01 of these Bylaws, in no event shall any adjournment or postponement of an annual or special meeting of stockholders, as applicable, or the public announcement thereof, commence a new time period for the giving of a stockholder’s notice as described above.</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(iii)    The number of nominees a stockholder may nominate (or the number of nominees a stockholder may nominate on behalf of a beneficial owner) for selection at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77190"/>
                <wp:effectExtent l="0" t="0" r="0" b="0"/>
                <wp:wrapNone/>
                <wp:docPr id="64" name="Frame50"/>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an annual or special meeting shall not exceed the number of directors to be elected at such annual or special meeting.</w:t>
      </w:r>
    </w:p>
    <w:p>
      <w:pPr>
        <w:pStyle w:val="TextBody"/>
        <w:bidi w:val="0"/>
        <w:spacing w:lineRule="auto" w:line="288" w:before="0" w:after="240"/>
        <w:ind w:left="0" w:right="0" w:firstLine="1440"/>
        <w:jc w:val="both"/>
        <w:rPr/>
      </w:pPr>
      <w:r>
        <w:rPr>
          <w:rFonts w:ascii="Times New Roman;sans-serif" w:hAnsi="Times New Roman;sans-serif"/>
          <w:b w:val="false"/>
          <w:color w:val="000000"/>
          <w:sz w:val="23"/>
        </w:rPr>
        <w:t>(b)    </w:t>
      </w:r>
      <w:r>
        <w:rPr>
          <w:rFonts w:ascii="Times New Roman;sans-serif" w:hAnsi="Times New Roman;sans-serif"/>
          <w:b w:val="false"/>
          <w:color w:val="000000"/>
          <w:sz w:val="23"/>
          <w:u w:val="single"/>
        </w:rPr>
        <w:t>Disclosure Requirements</w:t>
      </w:r>
      <w:r>
        <w:rPr>
          <w:rFonts w:ascii="Times New Roman;sans-serif" w:hAnsi="Times New Roman;sans-serif"/>
          <w:b w:val="false"/>
          <w:color w:val="000000"/>
          <w:sz w:val="23"/>
        </w:rPr>
        <w:t xml:space="preserve">. To be in proper form, a stockholder’s notice to the Secretary must include the following, as applicable: as to the stockholder giving the notice and the beneficial owner, if any, on whose behalf the nomination or proposal is made: (i) the name and address of such stockholder, as they appear on the Corporation’s books and of such beneficial owner or Control Person, if any, (ii) the number of shares of the Corporation which are, directly or indirectly, owned beneficially and of record by such stockholder and such beneficial owner or Control Person, if any (iii) a representation that the stockholder intends to appear at the meeting in person or by proxy to submit the business specified in such notice, (iv) (A) if the notice relates to the nomination of one or more persons for election to the Board of Directors, a representation that the stockholder or the beneficial owner, if any, will or is part of a group that will (1) solicit proxies from holders of the Corporation’s outstanding capital stock representing at least 67% of the voting power of shares of capital stock entitled to vote on the election of directors, (2) include a statement to that effect in its proxy statement and/or its form of proxy, (3) otherwise comply with Rule 14a-19 under the Securities Exchange Act of 1934 and (4) provide the Secretary not less than five (5) business days prior to the meeting or any adjournment or postponement thereof, with reasonable documentary evidence (as determined by the Secretary in good faith) that such stockholder and/or beneficial owner, if any, complied with such representations and (B) if the notice relates to any business other than a nomination of director(s), a brief description of the business desired to be brought before the meeting, including the complete text of any resolutions proposed for consideration, and the reasons for conducting such business at the meeting, (v) any direct or indirect personal or other material interest of the stockholder in the business to be submitted, (vi) 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or beneficial owner and by any Control Person or any other person acting in concert with any of the foregoing, the effect or intent of which is to mitigate loss, manage risk or benefit from changes in the share price of any class of the Corporation’s stock, or maintain, increase or decrease the voting power of the stockholder or beneficial owner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(vii) a representation whether the stockholder or the beneficial owner, if any, and any Control Person will engage in a solicitation with respect to the nomination or business and, if so, the name of each participant (as defined in Item 4 of Schedule 14A under the Securities Exchange Act of 1934) in such solicitation and whether such person intends or is part of a group which intends to deliver a proxy statement and/or form of proxy to holders of at least the percentage of the Corporation’s outstanding stock required to approve or adopt the business to be proposed (in person or by proxy) by the stockholder and (viii) any other information relating to such stockholder, beneficial owner or Control Person, if any, that would be required to be disclosed in a proxy statement and form or proxy or other filings required to be made in connection with solicitations of proxies for, as applicable, the proposal and/or for the election of directors in a contested election pursuant to Section 14 of the Securities Exchange Act of 1934 and the rules and regulations promulgated thereunder. If a stockholder providing notice and/or beneficial owner that intends to solicit proxies in support of director nominees other than the Corporation’s nominees no longer intends to solicit proxies in accordance with its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77190"/>
                <wp:effectExtent l="0" t="0" r="0" b="0"/>
                <wp:wrapNone/>
                <wp:docPr id="65" name="Frame51"/>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representation pursuant to this section, such stockholder and/or beneficial owner shall inform the Corporation of this change by delivering a writing to the Secretary no later than two (2) business days after the occurrence of such change. For purposes of this Section 2.13 a “</w:t>
      </w:r>
      <w:r>
        <w:rPr>
          <w:rFonts w:ascii="Times New Roman;sans-serif" w:hAnsi="Times New Roman;sans-serif"/>
          <w:b w:val="false"/>
          <w:color w:val="000000"/>
          <w:sz w:val="23"/>
          <w:u w:val="single"/>
        </w:rPr>
        <w:t>Control Person</w:t>
      </w:r>
      <w:r>
        <w:rPr>
          <w:color w:val="000000"/>
        </w:rPr>
        <w:t xml:space="preserve">” </w:t>
      </w:r>
      <w:r>
        <w:rPr>
          <w:rFonts w:ascii="Times New Roman;sans-serif" w:hAnsi="Times New Roman;sans-serif"/>
          <w:b w:val="false"/>
          <w:color w:val="000000"/>
          <w:sz w:val="23"/>
        </w:rPr>
        <w:t>shall be a director, executive, managing member or control person of such stockholder giving the notice or, if the notice is given on behalf of a beneficial owner on whose behalf the nomination is made or the business is proposed, as to such beneficial owner. Nothing in these Bylaws shall be deemed to affect any rights of stockholders to request inclusion of proposals in the Corporation’s proxy statement pursuant to Rule 14a-8 under the Securities Exchange Act of 1934.</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2.14    </w:t>
      </w:r>
      <w:r>
        <w:rPr>
          <w:rFonts w:ascii="Times New Roman;sans-serif" w:hAnsi="Times New Roman;sans-serif"/>
          <w:b/>
          <w:color w:val="000000"/>
          <w:sz w:val="23"/>
          <w:u w:val="single"/>
        </w:rPr>
        <w:t>Remote Communications</w:t>
      </w:r>
      <w:r>
        <w:rPr>
          <w:rFonts w:ascii="Times New Roman;sans-serif" w:hAnsi="Times New Roman;sans-serif"/>
          <w:b w:val="false"/>
          <w:color w:val="000000"/>
          <w:sz w:val="23"/>
        </w:rPr>
        <w:t xml:space="preserve">. A meeting of stockholders may be held solely by remote communication pursuant to this Section 2.14. Stockholders may participate in a meeting of stockholders by means of any electronic communications, videoconferencing, teleconferencing or other available technology. If any such means are utilized, the Corporation shall, to the extent required under the NRS, implement reasonable measures to (a) verify the identity of each </w:t>
      </w:r>
      <w:r>
        <w:rPr>
          <w:rFonts w:ascii="Times New Roman;sans-serif" w:hAnsi="Times New Roman;sans-serif"/>
          <w:b w:val="false"/>
          <w:color w:val="010000"/>
          <w:sz w:val="23"/>
        </w:rPr>
        <w:t>person</w:t>
      </w:r>
      <w:r>
        <w:rPr>
          <w:color w:val="000000"/>
        </w:rPr>
        <w:t xml:space="preserve"> </w:t>
      </w:r>
      <w:r>
        <w:rPr>
          <w:rFonts w:ascii="Times New Roman;sans-serif" w:hAnsi="Times New Roman;sans-serif"/>
          <w:b w:val="false"/>
          <w:color w:val="000000"/>
          <w:sz w:val="23"/>
        </w:rPr>
        <w:t>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For the purposes of establishing a quorum and taking any action at the meeting, participation in a meeting pursuant to this Section 2.14 constitutes presence in person at the meeting.</w: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ARTICLE III</w:t>
        <w:br/>
        <w:t>Board of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3.01    </w:t>
      </w:r>
      <w:r>
        <w:rPr>
          <w:rFonts w:ascii="Times New Roman;sans-serif" w:hAnsi="Times New Roman;sans-serif"/>
          <w:b/>
          <w:color w:val="000000"/>
          <w:sz w:val="23"/>
          <w:u w:val="single"/>
        </w:rPr>
        <w:t>General Powers</w:t>
      </w:r>
      <w:r>
        <w:rPr>
          <w:rFonts w:ascii="Times New Roman;sans-serif" w:hAnsi="Times New Roman;sans-serif"/>
          <w:b w:val="false"/>
          <w:color w:val="000000"/>
          <w:sz w:val="23"/>
        </w:rPr>
        <w:t xml:space="preserve">. The business of the Corporation shall be managed by the Board of </w:t>
      </w:r>
      <w:r>
        <w:rPr>
          <w:rFonts w:ascii="Times New Roman;sans-serif" w:hAnsi="Times New Roman;sans-serif"/>
          <w:b w:val="false"/>
          <w:color w:val="010000"/>
          <w:sz w:val="23"/>
        </w:rPr>
        <w:t>Directors</w:t>
      </w:r>
      <w:r>
        <w:rPr>
          <w:rFonts w:ascii="Times New Roman;sans-serif" w:hAnsi="Times New Roman;sans-serif"/>
          <w:b w:val="false"/>
          <w:color w:val="000000"/>
          <w:sz w:val="23"/>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3.02    </w:t>
      </w:r>
      <w:r>
        <w:rPr>
          <w:rFonts w:ascii="Times New Roman;sans-serif" w:hAnsi="Times New Roman;sans-serif"/>
          <w:b/>
          <w:color w:val="000000"/>
          <w:sz w:val="23"/>
          <w:u w:val="single"/>
        </w:rPr>
        <w:t>Number, Qualification and Term of Office</w:t>
      </w:r>
      <w:r>
        <w:rPr>
          <w:rFonts w:ascii="Times New Roman;sans-serif" w:hAnsi="Times New Roman;sans-serif"/>
          <w:b w:val="false"/>
          <w:color w:val="000000"/>
          <w:sz w:val="23"/>
        </w:rPr>
        <w:t xml:space="preserve">. The number of directors, except to the extent, if any, otherwise provided in the Articles of Incorporation, shall be established from time to time by a resolution adopted by a majority of the total number of directors, but shall in no case be less than three. Directors need not be stockholders. Each director shall hold office until the annual meeting of stockholders next held after his or her election or until the stockholders have elected directors by consent in writing without a meeting and until his or her successor is elected and qualified or until his or her earlier death, resignation or removal. </w:t>
      </w:r>
      <w:r>
        <w:rPr>
          <w:rFonts w:ascii="Times New Roman;sans-serif" w:hAnsi="Times New Roman;sans-serif"/>
          <w:b w:val="false"/>
          <w:color w:val="010000"/>
          <w:sz w:val="23"/>
        </w:rPr>
        <w:t>Nothing</w:t>
      </w:r>
      <w:r>
        <w:rPr>
          <w:color w:val="000000"/>
        </w:rPr>
        <w:t xml:space="preserve"> </w:t>
      </w:r>
      <w:r>
        <w:rPr>
          <w:rFonts w:ascii="Times New Roman;sans-serif" w:hAnsi="Times New Roman;sans-serif"/>
          <w:b w:val="false"/>
          <w:color w:val="000000"/>
          <w:sz w:val="23"/>
        </w:rPr>
        <w:t>in this Section 3.02 shall restrict the right of the Board of Directors to fill vacancies or the right of the stockholders to remove directors each as provided in these Bylaws. Notwithstanding anything to the contrary in the Articles of Incorporation, these Bylaws or any employment contract or other arrangement with the Corporation, any director of the Corporation who is determined to be a Disqualified Holder (as that term is defined in the Articles of Incorporation) or who is an affiliate of a Disqualified Holder shall cease to qualify to serve as a director of the Corporation.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3.03    </w:t>
      </w:r>
      <w:r>
        <w:rPr>
          <w:rFonts w:ascii="Times New Roman;sans-serif" w:hAnsi="Times New Roman;sans-serif"/>
          <w:b/>
          <w:color w:val="000000"/>
          <w:sz w:val="23"/>
          <w:u w:val="single"/>
        </w:rPr>
        <w:t>Annual Meeting</w:t>
      </w:r>
      <w:r>
        <w:rPr>
          <w:rFonts w:ascii="Times New Roman;sans-serif" w:hAnsi="Times New Roman;sans-serif"/>
          <w:b w:val="false"/>
          <w:color w:val="000000"/>
          <w:sz w:val="23"/>
        </w:rPr>
        <w:t>. As soon as practicable after each election of directors, the Board of Directors shall meet at the registered office of the Corporation, or at such other place previously designated by the Board of Directors, for the purpose of electing the officers of the Corporation and for the transaction of such other business as may come before the meeting.</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77190"/>
                <wp:effectExtent l="0" t="0" r="0" b="0"/>
                <wp:wrapNone/>
                <wp:docPr id="66" name="Frame52"/>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3.04    </w:t>
      </w:r>
      <w:r>
        <w:rPr>
          <w:rFonts w:ascii="Times New Roman;sans-serif" w:hAnsi="Times New Roman;sans-serif"/>
          <w:b/>
          <w:color w:val="000000"/>
          <w:sz w:val="23"/>
          <w:u w:val="single"/>
        </w:rPr>
        <w:t>Regular Meetings</w:t>
      </w:r>
      <w:r>
        <w:rPr>
          <w:rFonts w:ascii="Times New Roman;sans-serif" w:hAnsi="Times New Roman;sans-serif"/>
          <w:b w:val="false"/>
          <w:color w:val="000000"/>
          <w:sz w:val="23"/>
        </w:rPr>
        <w:t xml:space="preserve">. Regular meetings of the Board of Directors shall be held from time to time at such time and place as may be fixed by resolution adopted by a majority of the </w:t>
      </w:r>
      <w:r>
        <w:rPr>
          <w:rFonts w:ascii="Times New Roman;sans-serif" w:hAnsi="Times New Roman;sans-serif"/>
          <w:b w:val="false"/>
          <w:color w:val="010000"/>
          <w:sz w:val="23"/>
        </w:rPr>
        <w:t>total</w:t>
      </w:r>
      <w:r>
        <w:rPr>
          <w:color w:val="000000"/>
        </w:rPr>
        <w:t xml:space="preserve"> </w:t>
      </w:r>
      <w:r>
        <w:rPr>
          <w:rFonts w:ascii="Times New Roman;sans-serif" w:hAnsi="Times New Roman;sans-serif"/>
          <w:b w:val="false"/>
          <w:color w:val="000000"/>
          <w:sz w:val="23"/>
        </w:rPr>
        <w:t>number of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3.05    </w:t>
      </w:r>
      <w:r>
        <w:rPr>
          <w:rFonts w:ascii="Times New Roman;sans-serif" w:hAnsi="Times New Roman;sans-serif"/>
          <w:b/>
          <w:color w:val="000000"/>
          <w:sz w:val="23"/>
          <w:u w:val="single"/>
        </w:rPr>
        <w:t>Special Meetings</w:t>
      </w:r>
      <w:r>
        <w:rPr>
          <w:rFonts w:ascii="Times New Roman;sans-serif" w:hAnsi="Times New Roman;sans-serif"/>
          <w:b w:val="false"/>
          <w:color w:val="000000"/>
          <w:sz w:val="23"/>
        </w:rPr>
        <w:t xml:space="preserve">. Special meetings of the Board of Directors may be called by the Chair of the Board, the President, or by any two of the directors and shall be held from time to </w:t>
      </w:r>
      <w:r>
        <w:rPr>
          <w:rFonts w:ascii="Times New Roman;sans-serif" w:hAnsi="Times New Roman;sans-serif"/>
          <w:b w:val="false"/>
          <w:color w:val="010000"/>
          <w:sz w:val="23"/>
        </w:rPr>
        <w:t>time</w:t>
      </w:r>
      <w:r>
        <w:rPr>
          <w:color w:val="000000"/>
        </w:rPr>
        <w:t xml:space="preserve"> </w:t>
      </w:r>
      <w:r>
        <w:rPr>
          <w:rFonts w:ascii="Times New Roman;sans-serif" w:hAnsi="Times New Roman;sans-serif"/>
          <w:b w:val="false"/>
          <w:color w:val="000000"/>
          <w:sz w:val="23"/>
        </w:rPr>
        <w:t>at such time and place as may be designated in the notice of such meeting.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3.06    </w:t>
      </w:r>
      <w:r>
        <w:rPr>
          <w:rFonts w:ascii="Times New Roman;sans-serif" w:hAnsi="Times New Roman;sans-serif"/>
          <w:b/>
          <w:color w:val="000000"/>
          <w:sz w:val="23"/>
          <w:u w:val="single"/>
        </w:rPr>
        <w:t>Notice of Meetings</w:t>
      </w:r>
      <w:r>
        <w:rPr>
          <w:rFonts w:ascii="Times New Roman;sans-serif" w:hAnsi="Times New Roman;sans-serif"/>
          <w:b w:val="false"/>
          <w:color w:val="000000"/>
          <w:sz w:val="23"/>
        </w:rPr>
        <w:t>. No notice need be given of any annual or regular meeting of the Board of Directors. Notice of each special meeting of the Board of Directors shall be given by the Secretary who shall give at least twenty-four hours’ notice thereof to each director by mail, telephone, telegram, electronic transmission including email, or in person. Notice shall be effective upon receipt.</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3.07    </w:t>
      </w:r>
      <w:r>
        <w:rPr>
          <w:rFonts w:ascii="Times New Roman;sans-serif" w:hAnsi="Times New Roman;sans-serif"/>
          <w:b/>
          <w:color w:val="000000"/>
          <w:sz w:val="23"/>
          <w:u w:val="single"/>
        </w:rPr>
        <w:t>Waiver of Notice</w:t>
      </w:r>
      <w:r>
        <w:rPr>
          <w:rFonts w:ascii="Times New Roman;sans-serif" w:hAnsi="Times New Roman;sans-serif"/>
          <w:b w:val="false"/>
          <w:color w:val="000000"/>
          <w:sz w:val="23"/>
        </w:rPr>
        <w:t>. Notice of any meeting of the Board of Directors may be waived either before, at, or after such meeting in writing signed by each director.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3.08    </w:t>
      </w:r>
      <w:r>
        <w:rPr>
          <w:rFonts w:ascii="Times New Roman;sans-serif" w:hAnsi="Times New Roman;sans-serif"/>
          <w:b/>
          <w:color w:val="000000"/>
          <w:sz w:val="23"/>
          <w:u w:val="single"/>
        </w:rPr>
        <w:t>Quorum and Voting</w:t>
      </w:r>
      <w:r>
        <w:rPr>
          <w:rFonts w:ascii="Times New Roman;sans-serif" w:hAnsi="Times New Roman;sans-serif"/>
          <w:b w:val="false"/>
          <w:color w:val="000000"/>
          <w:sz w:val="23"/>
        </w:rPr>
        <w:t xml:space="preserve">. A majority of the directors then in office shall constitute a </w:t>
      </w:r>
      <w:r>
        <w:rPr>
          <w:rFonts w:ascii="Times New Roman;sans-serif" w:hAnsi="Times New Roman;sans-serif"/>
          <w:b w:val="false"/>
          <w:color w:val="010000"/>
          <w:sz w:val="23"/>
        </w:rPr>
        <w:t>quorum</w:t>
      </w:r>
      <w:r>
        <w:rPr>
          <w:color w:val="000000"/>
        </w:rPr>
        <w:t xml:space="preserve"> </w:t>
      </w:r>
      <w:r>
        <w:rPr>
          <w:rFonts w:ascii="Times New Roman;sans-serif" w:hAnsi="Times New Roman;sans-serif"/>
          <w:b w:val="false"/>
          <w:color w:val="000000"/>
          <w:sz w:val="23"/>
        </w:rPr>
        <w:t>for the transaction of business. The vote of a majority of the directors present at a meeting at which a quorum is present shall be the act of the Board of Directors unless these Bylaws, the Articles of Incorporation or the NRS require a greater number.</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3.09    </w:t>
      </w:r>
      <w:r>
        <w:rPr>
          <w:rFonts w:ascii="Times New Roman;sans-serif" w:hAnsi="Times New Roman;sans-serif"/>
          <w:b/>
          <w:color w:val="000000"/>
          <w:sz w:val="23"/>
          <w:u w:val="single"/>
        </w:rPr>
        <w:t>Vacancies</w:t>
      </w:r>
      <w:r>
        <w:rPr>
          <w:rFonts w:ascii="Times New Roman;sans-serif" w:hAnsi="Times New Roman;sans-serif"/>
          <w:b w:val="false"/>
          <w:color w:val="000000"/>
          <w:sz w:val="23"/>
        </w:rPr>
        <w:t xml:space="preserve">. Any vacancy among the directors or increase in the authorized number of directors shall be filled for the unexpired term by the majority vote of the directors then in office though less than a quorum or by the sole remaining director. When one or more directors shall </w:t>
      </w:r>
      <w:r>
        <w:rPr>
          <w:rFonts w:ascii="Times New Roman;sans-serif" w:hAnsi="Times New Roman;sans-serif"/>
          <w:b w:val="false"/>
          <w:color w:val="010000"/>
          <w:sz w:val="23"/>
        </w:rPr>
        <w:t>resign</w:t>
      </w:r>
      <w:r>
        <w:rPr>
          <w:color w:val="000000"/>
        </w:rPr>
        <w:t xml:space="preserve"> </w:t>
      </w:r>
      <w:r>
        <w:rPr>
          <w:rFonts w:ascii="Times New Roman;sans-serif" w:hAnsi="Times New Roman;sans-serif"/>
          <w:b w:val="false"/>
          <w:color w:val="000000"/>
          <w:sz w:val="23"/>
        </w:rPr>
        <w:t>from the Board, effective at a future date, a majority of the directors then in office may fill such vacancy or vacancies to take effect when such resignation or resignations shall become effective and the director or directors so chosen shall hold office for a term expiring at the next annual meeting of stockholders and when his, her or their successors are elected or appointed, or until his, her or their earlier resignation or removal.</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3.10    </w:t>
      </w:r>
      <w:r>
        <w:rPr>
          <w:rFonts w:ascii="Times New Roman;sans-serif" w:hAnsi="Times New Roman;sans-serif"/>
          <w:b/>
          <w:color w:val="000000"/>
          <w:sz w:val="23"/>
          <w:u w:val="single"/>
        </w:rPr>
        <w:t>Removal</w:t>
      </w:r>
      <w:r>
        <w:rPr>
          <w:rFonts w:ascii="Times New Roman;sans-serif" w:hAnsi="Times New Roman;sans-serif"/>
          <w:b w:val="false"/>
          <w:color w:val="000000"/>
          <w:sz w:val="23"/>
        </w:rPr>
        <w:t>. Any director may be removed from office at any special meeting of the stockholders either with or without cause by the vote of the holders of not less than two-thirds of the voting power of the issued and outstanding stock entitled to vote generally in the election of directors, excluding stock entitled to vote only upon the happening of a fact or event unless such fact or event shall have occurred. If the entire Board of Directors or any one or more directors be so removed, new directors may be elected at the same meeting.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3.11    </w:t>
      </w:r>
      <w:r>
        <w:rPr>
          <w:rFonts w:ascii="Times New Roman;sans-serif" w:hAnsi="Times New Roman;sans-serif"/>
          <w:b/>
          <w:color w:val="000000"/>
          <w:sz w:val="23"/>
          <w:u w:val="single"/>
        </w:rPr>
        <w:t>Committees of Directors</w:t>
      </w:r>
      <w:r>
        <w:rPr>
          <w:rFonts w:ascii="Times New Roman;sans-serif" w:hAnsi="Times New Roman;sans-serif"/>
          <w:b w:val="false"/>
          <w:color w:val="000000"/>
          <w:sz w:val="23"/>
        </w:rPr>
        <w:t xml:space="preserve">. The Board of Directors may, by resolution adopted by a majority of the total number of directors, designate one or more committees, each to consist of one or more of the directors of the Corporation, which, to the extent provided in the resolution, may exercise the powers of the Board of Directors in the management of the business and affairs of the Corporation. The Board of Directors may designate one or more directors as alternate members of any committee, who may replace any absent or disqualified member at any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77190"/>
                <wp:effectExtent l="0" t="0" r="0" b="0"/>
                <wp:wrapNone/>
                <wp:docPr id="67" name="Frame53"/>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meeting of the committee.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 Such committee or committees shall have such name or names as may be determined by the resolution adopted by the directors. The committees shall keep regular minutes of their proceedings and report the same to the Board of Directors when required. Unless otherwise provided for in a resolution of the Board of Directors designating a committee pursuant to this Section 3.11: (i) a majority of the authorized number of members of such committee shall constitute a quorum for the transaction of business of such committee and (ii) the vote of a majority of the members of such committee present at a meeting of such committee at which a quorum is present shall be the act of such committee except where otherwise required by these Bylaws or the charter of such committee.</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3.12    </w:t>
      </w:r>
      <w:r>
        <w:rPr>
          <w:rFonts w:ascii="Times New Roman;sans-serif" w:hAnsi="Times New Roman;sans-serif"/>
          <w:b/>
          <w:color w:val="000000"/>
          <w:sz w:val="23"/>
          <w:u w:val="single"/>
        </w:rPr>
        <w:t>Written Action</w:t>
      </w:r>
      <w:r>
        <w:rPr>
          <w:rFonts w:ascii="Times New Roman;sans-serif" w:hAnsi="Times New Roman;sans-serif"/>
          <w:b w:val="false"/>
          <w:color w:val="000000"/>
          <w:sz w:val="23"/>
        </w:rPr>
        <w:t xml:space="preserve">. Any action required or permitted to be taken at a meeting of the Board of Directors or any committee thereof may be taken without a meeting if, before or after the action, all directors or committee members consent thereto in writing. The written consent may be signed manually or electronically (or by any other means then permitted under the NRS), and may be so signed in counterparts, including, without limitation, facsimile or email counterparts, and </w:t>
      </w:r>
      <w:r>
        <w:rPr>
          <w:rFonts w:ascii="Times New Roman;sans-serif" w:hAnsi="Times New Roman;sans-serif"/>
          <w:b w:val="false"/>
          <w:color w:val="010000"/>
          <w:sz w:val="23"/>
        </w:rPr>
        <w:t>the</w:t>
      </w:r>
      <w:r>
        <w:rPr>
          <w:color w:val="000000"/>
        </w:rPr>
        <w:t xml:space="preserve"> </w:t>
      </w:r>
      <w:r>
        <w:rPr>
          <w:rFonts w:ascii="Times New Roman;sans-serif" w:hAnsi="Times New Roman;sans-serif"/>
          <w:b w:val="false"/>
          <w:color w:val="000000"/>
          <w:sz w:val="23"/>
        </w:rPr>
        <w:t>written consent shall be filed with the minutes of proceedings of the Board of Directors or committee.</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3.13    </w:t>
      </w:r>
      <w:r>
        <w:rPr>
          <w:rFonts w:ascii="Times New Roman;sans-serif" w:hAnsi="Times New Roman;sans-serif"/>
          <w:b/>
          <w:color w:val="000000"/>
          <w:sz w:val="23"/>
          <w:u w:val="single"/>
        </w:rPr>
        <w:t>Compensation</w:t>
      </w:r>
      <w:r>
        <w:rPr>
          <w:rFonts w:ascii="Times New Roman;sans-serif" w:hAnsi="Times New Roman;sans-serif"/>
          <w:b w:val="false"/>
          <w:color w:val="000000"/>
          <w:sz w:val="23"/>
        </w:rPr>
        <w:t xml:space="preserve">. Directors who are not salaried officers of the Corporation may receive a fixed sum per meeting attended or a fixed annual sum, or both, and such other forms of reasonable compensation as may be determined by resolution of the Board of Directors. All directors shall receive their expenses, if any, of attendance at meetings of the Board of Directors or any </w:t>
      </w:r>
      <w:r>
        <w:rPr>
          <w:rFonts w:ascii="Times New Roman;sans-serif" w:hAnsi="Times New Roman;sans-serif"/>
          <w:b w:val="false"/>
          <w:color w:val="010000"/>
          <w:sz w:val="23"/>
        </w:rPr>
        <w:t>committee</w:t>
      </w:r>
      <w:r>
        <w:rPr>
          <w:color w:val="000000"/>
        </w:rPr>
        <w:t xml:space="preserve"> </w:t>
      </w:r>
      <w:r>
        <w:rPr>
          <w:rFonts w:ascii="Times New Roman;sans-serif" w:hAnsi="Times New Roman;sans-serif"/>
          <w:b w:val="false"/>
          <w:color w:val="000000"/>
          <w:sz w:val="23"/>
        </w:rPr>
        <w:t>thereof. Any director may serve the Corporation in any other capacity and receive proper compensation therefor. If the Board of Directors establishes the compensation of directors pursuant to this Section 3.13, such compensation is presumed to be fair to the Corporation unless proven unfair by a preponderance of the evidence.</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3.14    </w:t>
      </w:r>
      <w:r>
        <w:rPr>
          <w:rFonts w:ascii="Times New Roman;sans-serif" w:hAnsi="Times New Roman;sans-serif"/>
          <w:b/>
          <w:color w:val="000000"/>
          <w:sz w:val="23"/>
          <w:u w:val="single"/>
        </w:rPr>
        <w:t>Conference Communications</w:t>
      </w:r>
      <w:r>
        <w:rPr>
          <w:rFonts w:ascii="Times New Roman;sans-serif" w:hAnsi="Times New Roman;sans-serif"/>
          <w:b w:val="false"/>
          <w:color w:val="000000"/>
          <w:sz w:val="23"/>
        </w:rPr>
        <w:t>. Directors may participate in any meeting of the Board of Directors, or of any duly constituted committee thereof, by means of any conference telephone, electronic communications, videoconferencing, teleconferencing or other comparable communication technique or technology permitted under the NRS, including, without limitation, a telephone conference or similar method of communication whereby all persons participating in the meeting can hear and communicate to each other.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of the committee a reasonable opportunity to participate in the meeting and to vote on matters submitted to the directors or members of the committee, including an opportunity to communicate, and to read or hear the proceedings of the meeting in a substantially concurrent manner with such proceedings. For the purposes of establishing a quorum and taking any action at the meeting, such directors or members of the committee, as the case may be, participating pursuant to this Section 3.14 shall be deemed present in person at the meeting.</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77190"/>
                <wp:effectExtent l="0" t="0" r="0" b="0"/>
                <wp:wrapNone/>
                <wp:docPr id="68" name="Frame54"/>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ARTICLE IV</w:t>
        <w:br/>
        <w:t>Officers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4.01    </w:t>
      </w:r>
      <w:r>
        <w:rPr>
          <w:rFonts w:ascii="Times New Roman;sans-serif" w:hAnsi="Times New Roman;sans-serif"/>
          <w:b/>
          <w:color w:val="000000"/>
          <w:sz w:val="23"/>
          <w:u w:val="single"/>
        </w:rPr>
        <w:t>Number</w:t>
      </w:r>
      <w:r>
        <w:rPr>
          <w:rFonts w:ascii="Times New Roman;sans-serif" w:hAnsi="Times New Roman;sans-serif"/>
          <w:b w:val="false"/>
          <w:color w:val="000000"/>
          <w:sz w:val="23"/>
        </w:rPr>
        <w:t xml:space="preserve">. The officers of the Corporation shall consist of a President, a Secretary and a Treasurer, or the equivalents of such officers. The officers of the Corporation may also </w:t>
      </w:r>
      <w:r>
        <w:rPr>
          <w:rFonts w:ascii="Times New Roman;sans-serif" w:hAnsi="Times New Roman;sans-serif"/>
          <w:b w:val="false"/>
          <w:color w:val="010000"/>
          <w:sz w:val="23"/>
        </w:rPr>
        <w:t>consist</w:t>
      </w:r>
      <w:r>
        <w:rPr>
          <w:color w:val="000000"/>
        </w:rPr>
        <w:t xml:space="preserve"> </w:t>
      </w:r>
      <w:r>
        <w:rPr>
          <w:rFonts w:ascii="Times New Roman;sans-serif" w:hAnsi="Times New Roman;sans-serif"/>
          <w:b w:val="false"/>
          <w:color w:val="000000"/>
          <w:sz w:val="23"/>
        </w:rPr>
        <w:t>of one or more Vice Presidents and any other officers and agents as the Board of Directors, by a majority vote of the total number of directors, may designate. Any person may hold two or more offices.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4.02    </w:t>
      </w:r>
      <w:r>
        <w:rPr>
          <w:rFonts w:ascii="Times New Roman;sans-serif" w:hAnsi="Times New Roman;sans-serif"/>
          <w:b/>
          <w:color w:val="000000"/>
          <w:sz w:val="23"/>
          <w:u w:val="single"/>
        </w:rPr>
        <w:t>Election, Term of Office, and Qualifications</w:t>
      </w:r>
      <w:r>
        <w:rPr>
          <w:rFonts w:ascii="Times New Roman;sans-serif" w:hAnsi="Times New Roman;sans-serif"/>
          <w:b w:val="false"/>
          <w:color w:val="000000"/>
          <w:sz w:val="23"/>
        </w:rPr>
        <w:t>. At each annual meeting of the Board of Directors all officers shall be elected. Such officers shall hold office until the next annual meeting of the directors or until their successors are elected and qualified, or until their earlier resignation or removal, or until such office is eliminated by a vote of the majority of all directors. Unless they have resigned or been removed, officers who may be directors shall hold office until the election and qualification of their successors, notwithstanding an earlier termination of their directorship. Notwithstanding anything to the contrary in the Articles of Incorporation, these Bylaws or any employment contract or other arrangement with the Corporation, any officer of the Corporation who is determined to be a Disqualified Holder (as that term is defined in the Articles of Incorporation) or who is an affiliate of a Disqualified Holder shall cease to qualify to serve as an officer of the Corporation and, upon such disqualification, shall automatically and immediately cease to be an officer of the Corporation.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4.03    </w:t>
      </w:r>
      <w:r>
        <w:rPr>
          <w:rFonts w:ascii="Times New Roman;sans-serif" w:hAnsi="Times New Roman;sans-serif"/>
          <w:b/>
          <w:color w:val="000000"/>
          <w:sz w:val="23"/>
          <w:u w:val="single"/>
        </w:rPr>
        <w:t>Removal and Vacancies</w:t>
      </w:r>
      <w:r>
        <w:rPr>
          <w:rFonts w:ascii="Times New Roman;sans-serif" w:hAnsi="Times New Roman;sans-serif"/>
          <w:b w:val="false"/>
          <w:color w:val="000000"/>
          <w:sz w:val="23"/>
        </w:rPr>
        <w:t>. Any officer may be removed from his or her office by a majority vote of the total number of directors with or without cause. A vacancy among the officers by death, resignation, removal, or otherwise shall be filled for the unexpired term by the Board of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4.04    </w:t>
      </w:r>
      <w:r>
        <w:rPr>
          <w:rFonts w:ascii="Times New Roman;sans-serif" w:hAnsi="Times New Roman;sans-serif"/>
          <w:b/>
          <w:color w:val="000000"/>
          <w:sz w:val="23"/>
          <w:u w:val="single"/>
        </w:rPr>
        <w:t>Chair of the Board</w:t>
      </w:r>
      <w:r>
        <w:rPr>
          <w:rFonts w:ascii="Times New Roman;sans-serif" w:hAnsi="Times New Roman;sans-serif"/>
          <w:b w:val="false"/>
          <w:color w:val="000000"/>
          <w:sz w:val="23"/>
        </w:rPr>
        <w:t>. The Chair of the Board, if one is elected, shall preside at all meetings of the stockholders and directors and shall have such other duties as may be prescribed, from time to time, by the Board of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4.05    </w:t>
      </w:r>
      <w:r>
        <w:rPr>
          <w:rFonts w:ascii="Times New Roman;sans-serif" w:hAnsi="Times New Roman;sans-serif"/>
          <w:b/>
          <w:color w:val="000000"/>
          <w:sz w:val="23"/>
          <w:u w:val="single"/>
        </w:rPr>
        <w:t>President</w:t>
      </w:r>
      <w:r>
        <w:rPr>
          <w:rFonts w:ascii="Times New Roman;sans-serif" w:hAnsi="Times New Roman;sans-serif"/>
          <w:b w:val="false"/>
          <w:color w:val="000000"/>
          <w:sz w:val="23"/>
        </w:rPr>
        <w:t xml:space="preserve">. The President shall have general active management of the business of the Corporation. In event of the absence or disability of the Chair of the Board, the President shall preside at all meetings of the stockholders and directors. The President shall see that all orders </w:t>
      </w:r>
      <w:r>
        <w:rPr>
          <w:rFonts w:ascii="Times New Roman;sans-serif" w:hAnsi="Times New Roman;sans-serif"/>
          <w:b w:val="false"/>
          <w:color w:val="010000"/>
          <w:sz w:val="23"/>
        </w:rPr>
        <w:t>and</w:t>
      </w:r>
      <w:r>
        <w:rPr>
          <w:color w:val="000000"/>
        </w:rPr>
        <w:t xml:space="preserve"> </w:t>
      </w:r>
      <w:r>
        <w:rPr>
          <w:rFonts w:ascii="Times New Roman;sans-serif" w:hAnsi="Times New Roman;sans-serif"/>
          <w:b w:val="false"/>
          <w:color w:val="000000"/>
          <w:sz w:val="23"/>
        </w:rPr>
        <w:t>resolutions of the directors are carried into effect. The President may execute and deliver in the name of the Corporation any deeds, mortgages, bonds, contracts or other instruments pertaining to the business of the Corporation and in general shall perform all duties usually incident to the office of the president. The President shall have such other duties as may, from time to time, be prescribed by the Board of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4.06    </w:t>
      </w:r>
      <w:r>
        <w:rPr>
          <w:rFonts w:ascii="Times New Roman;sans-serif" w:hAnsi="Times New Roman;sans-serif"/>
          <w:b/>
          <w:color w:val="000000"/>
          <w:sz w:val="23"/>
          <w:u w:val="single"/>
        </w:rPr>
        <w:t>Vice President</w:t>
      </w:r>
      <w:r>
        <w:rPr>
          <w:rFonts w:ascii="Times New Roman;sans-serif" w:hAnsi="Times New Roman;sans-serif"/>
          <w:b w:val="false"/>
          <w:color w:val="000000"/>
          <w:sz w:val="23"/>
        </w:rPr>
        <w:t xml:space="preserve">. Each Vice President shall have such powers and shall perform such </w:t>
      </w:r>
      <w:r>
        <w:rPr>
          <w:rFonts w:ascii="Times New Roman;sans-serif" w:hAnsi="Times New Roman;sans-serif"/>
          <w:b w:val="false"/>
          <w:color w:val="010000"/>
          <w:sz w:val="23"/>
        </w:rPr>
        <w:t>duties</w:t>
      </w:r>
      <w:r>
        <w:rPr>
          <w:color w:val="000000"/>
        </w:rPr>
        <w:t xml:space="preserve"> </w:t>
      </w:r>
      <w:r>
        <w:rPr>
          <w:rFonts w:ascii="Times New Roman;sans-serif" w:hAnsi="Times New Roman;sans-serif"/>
          <w:b w:val="false"/>
          <w:color w:val="000000"/>
          <w:sz w:val="23"/>
        </w:rPr>
        <w:t>as may be prescribed by the Board of Directors or by the President. In the event of absence or disability of the President, Vice Presidents shall succeed to his or her power and duties in the order designated by the Board of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4.07    </w:t>
      </w:r>
      <w:r>
        <w:rPr>
          <w:rFonts w:ascii="Times New Roman;sans-serif" w:hAnsi="Times New Roman;sans-serif"/>
          <w:b/>
          <w:color w:val="000000"/>
          <w:sz w:val="23"/>
          <w:u w:val="single"/>
        </w:rPr>
        <w:t>Secretary</w:t>
      </w:r>
      <w:r>
        <w:rPr>
          <w:rFonts w:ascii="Times New Roman;sans-serif" w:hAnsi="Times New Roman;sans-serif"/>
          <w:b w:val="false"/>
          <w:color w:val="000000"/>
          <w:sz w:val="23"/>
        </w:rPr>
        <w:t xml:space="preserve">. The Secretary shall be secretary of and shall attend all meetings of the stockholders and Board of Directors and shall record all proceedings of such meetings in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77190"/>
                <wp:effectExtent l="0" t="0" r="0" b="0"/>
                <wp:wrapNone/>
                <wp:docPr id="69" name="Frame55"/>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3"/>
        </w:rPr>
        <w:t xml:space="preserve">the minute book of the Corporation. The Secretary shall give proper notice of meetings of </w:t>
      </w:r>
      <w:r>
        <w:rPr>
          <w:rFonts w:ascii="Times New Roman;sans-serif" w:hAnsi="Times New Roman;sans-serif"/>
          <w:b w:val="false"/>
          <w:color w:val="010000"/>
          <w:sz w:val="23"/>
        </w:rPr>
        <w:t>stockholders</w:t>
      </w:r>
      <w:r>
        <w:rPr>
          <w:color w:val="000000"/>
        </w:rPr>
        <w:t xml:space="preserve"> </w:t>
      </w:r>
      <w:r>
        <w:rPr>
          <w:rFonts w:ascii="Times New Roman;sans-serif" w:hAnsi="Times New Roman;sans-serif"/>
          <w:b w:val="false"/>
          <w:color w:val="000000"/>
          <w:sz w:val="23"/>
        </w:rPr>
        <w:t>and the Board of Directors. The Secretary shall perform such other duties as may from time to time be prescribed by the Board of Directors or by the President.</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4.08    </w:t>
      </w:r>
      <w:r>
        <w:rPr>
          <w:rFonts w:ascii="Times New Roman;sans-serif" w:hAnsi="Times New Roman;sans-serif"/>
          <w:b/>
          <w:color w:val="000000"/>
          <w:sz w:val="23"/>
          <w:u w:val="single"/>
        </w:rPr>
        <w:t>Treasurer</w:t>
      </w:r>
      <w:r>
        <w:rPr>
          <w:rFonts w:ascii="Times New Roman;sans-serif" w:hAnsi="Times New Roman;sans-serif"/>
          <w:b w:val="false"/>
          <w:color w:val="000000"/>
          <w:sz w:val="23"/>
        </w:rPr>
        <w:t xml:space="preserve">. The Treasurer shall keep accurate accounts of all moneys of the Corporation </w:t>
      </w:r>
      <w:r>
        <w:rPr>
          <w:rFonts w:ascii="Times New Roman;sans-serif" w:hAnsi="Times New Roman;sans-serif"/>
          <w:b w:val="false"/>
          <w:color w:val="010000"/>
          <w:sz w:val="23"/>
        </w:rPr>
        <w:t>received</w:t>
      </w:r>
      <w:r>
        <w:rPr>
          <w:color w:val="000000"/>
        </w:rPr>
        <w:t xml:space="preserve"> </w:t>
      </w:r>
      <w:r>
        <w:rPr>
          <w:rFonts w:ascii="Times New Roman;sans-serif" w:hAnsi="Times New Roman;sans-serif"/>
          <w:b w:val="false"/>
          <w:color w:val="000000"/>
          <w:sz w:val="23"/>
        </w:rPr>
        <w:t>or disbursed. The Treasurer shall deposit all moneys, drafts and checks in the name of and to the credit of the Corporation in such banks and depositories as a majority of the whole Board of Directors shall from time to time designate. The Treasurer shall have power to endorse for deposit all notes, checks and drafts received by the Corporation. The Treasurer shall disburse the funds of the Corporation as ordered by the directors, making proper vouchers therefor. The Treasurer shall render to the President and the Board of Directors whenever required an account of all his or her transactions as Treasurer and of the financial condition of the Corporation and shall perform such other duties as may from time to time be prescribed by the Board of Directors or by the President.</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4.09    </w:t>
      </w:r>
      <w:r>
        <w:rPr>
          <w:rFonts w:ascii="Times New Roman;sans-serif" w:hAnsi="Times New Roman;sans-serif"/>
          <w:b/>
          <w:color w:val="000000"/>
          <w:sz w:val="23"/>
          <w:u w:val="single"/>
        </w:rPr>
        <w:t>Execution of Contracts and Documents</w:t>
      </w:r>
      <w:r>
        <w:rPr>
          <w:rFonts w:ascii="Times New Roman;sans-serif" w:hAnsi="Times New Roman;sans-serif"/>
          <w:b w:val="false"/>
          <w:color w:val="000000"/>
          <w:sz w:val="23"/>
        </w:rPr>
        <w:t>. Except as otherwise directed by the Board of Directors, all contracts, deeds, promissory notes, checks, drafts, or other instruments calling for the payment of money shall be signed by the President or a Vice President and, if a second signature is required, the Secretary or Treasurer. The Board of Directors may authorize the use of the facsimile signatures of any such persons.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4.10    </w:t>
      </w:r>
      <w:r>
        <w:rPr>
          <w:rFonts w:ascii="Times New Roman;sans-serif" w:hAnsi="Times New Roman;sans-serif"/>
          <w:b/>
          <w:color w:val="000000"/>
          <w:sz w:val="23"/>
          <w:u w:val="single"/>
        </w:rPr>
        <w:t>Duties of Other Officers</w:t>
      </w:r>
      <w:r>
        <w:rPr>
          <w:rFonts w:ascii="Times New Roman;sans-serif" w:hAnsi="Times New Roman;sans-serif"/>
          <w:b w:val="false"/>
          <w:color w:val="000000"/>
          <w:sz w:val="23"/>
        </w:rPr>
        <w:t xml:space="preserve">. The duties of such other officers and agents as the Board of </w:t>
      </w:r>
      <w:r>
        <w:rPr>
          <w:rFonts w:ascii="Times New Roman;sans-serif" w:hAnsi="Times New Roman;sans-serif"/>
          <w:b w:val="false"/>
          <w:color w:val="010000"/>
          <w:sz w:val="23"/>
        </w:rPr>
        <w:t>Directors</w:t>
      </w:r>
      <w:r>
        <w:rPr>
          <w:color w:val="000000"/>
        </w:rPr>
        <w:t xml:space="preserve"> </w:t>
      </w:r>
      <w:r>
        <w:rPr>
          <w:rFonts w:ascii="Times New Roman;sans-serif" w:hAnsi="Times New Roman;sans-serif"/>
          <w:b w:val="false"/>
          <w:color w:val="000000"/>
          <w:sz w:val="23"/>
        </w:rPr>
        <w:t>may designate shall be set forth in the resolution creating such office or by subsequent resolution.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4.11    </w:t>
      </w:r>
      <w:r>
        <w:rPr>
          <w:rFonts w:ascii="Times New Roman;sans-serif" w:hAnsi="Times New Roman;sans-serif"/>
          <w:b/>
          <w:color w:val="000000"/>
          <w:sz w:val="23"/>
          <w:u w:val="single"/>
        </w:rPr>
        <w:t>Compensation</w:t>
      </w:r>
      <w:r>
        <w:rPr>
          <w:rFonts w:ascii="Times New Roman;sans-serif" w:hAnsi="Times New Roman;sans-serif"/>
          <w:b w:val="false"/>
          <w:color w:val="000000"/>
          <w:sz w:val="23"/>
        </w:rPr>
        <w:t xml:space="preserve">. The officers of the Corporation shall receive such compensation for their services as may be determined from time to time by resolution of the Board of </w:t>
      </w:r>
      <w:r>
        <w:rPr>
          <w:rFonts w:ascii="Times New Roman;sans-serif" w:hAnsi="Times New Roman;sans-serif"/>
          <w:b w:val="false"/>
          <w:color w:val="010000"/>
          <w:sz w:val="23"/>
        </w:rPr>
        <w:t>Directors</w:t>
      </w:r>
      <w:r>
        <w:rPr>
          <w:color w:val="000000"/>
        </w:rPr>
        <w:t xml:space="preserve"> </w:t>
      </w:r>
      <w:r>
        <w:rPr>
          <w:rFonts w:ascii="Times New Roman;sans-serif" w:hAnsi="Times New Roman;sans-serif"/>
          <w:b w:val="false"/>
          <w:color w:val="000000"/>
          <w:sz w:val="23"/>
        </w:rPr>
        <w:t>or by one or more committees to the extent so authorized from time to time by the Board of Directors.</w:t>
      </w:r>
    </w:p>
    <w:p>
      <w:pPr>
        <w:pStyle w:val="TextBody"/>
        <w:bidi w:val="0"/>
        <w:spacing w:lineRule="auto" w:line="268" w:before="0" w:after="0"/>
        <w:jc w:val="center"/>
        <w:rPr/>
      </w:pPr>
      <w:r>
        <w:rPr>
          <w:rFonts w:ascii="Times New Roman;sans-serif" w:hAnsi="Times New Roman;sans-serif"/>
          <w:b w:val="false"/>
          <w:color w:val="000000"/>
          <w:sz w:val="23"/>
        </w:rPr>
        <w:t>A</w:t>
      </w:r>
      <w:r>
        <w:rPr>
          <w:rFonts w:ascii="Times New Roman;sans-serif" w:hAnsi="Times New Roman;sans-serif"/>
          <w:b/>
          <w:color w:val="000000"/>
          <w:sz w:val="23"/>
        </w:rPr>
        <w:t>RTICLE V</w: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Shares and Their Transfer</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5.01    </w:t>
      </w:r>
      <w:r>
        <w:rPr>
          <w:rFonts w:ascii="Times New Roman;sans-serif" w:hAnsi="Times New Roman;sans-serif"/>
          <w:b/>
          <w:color w:val="000000"/>
          <w:sz w:val="23"/>
          <w:u w:val="single"/>
        </w:rPr>
        <w:t>Shares of Stock</w:t>
      </w:r>
      <w:r>
        <w:rPr>
          <w:rFonts w:ascii="Times New Roman;sans-serif" w:hAnsi="Times New Roman;sans-serif"/>
          <w:b w:val="false"/>
          <w:color w:val="000000"/>
          <w:sz w:val="23"/>
        </w:rPr>
        <w:t xml:space="preserve">. The shares of stock of the Corporation shall be represented by a certificate, provided that the Board of Directors may provide by resolution or resolutions that some or all of any or all classes or series of the stock of the Corporation shall be uncertificated shares. Any such resolution shall not apply to shares represented by a certificate until such certificate is surrendered to the Corporation. Notwithstanding the adoption of any such resolution providing for uncertificated shares, every holder of stock of the Corporation theretofore </w:t>
      </w:r>
      <w:r>
        <w:rPr>
          <w:rFonts w:ascii="Times New Roman;sans-serif" w:hAnsi="Times New Roman;sans-serif"/>
          <w:b w:val="false"/>
          <w:color w:val="010000"/>
          <w:sz w:val="23"/>
        </w:rPr>
        <w:t>represented</w:t>
      </w:r>
      <w:r>
        <w:rPr>
          <w:color w:val="000000"/>
        </w:rPr>
        <w:t xml:space="preserve"> </w:t>
      </w:r>
      <w:r>
        <w:rPr>
          <w:rFonts w:ascii="Times New Roman;sans-serif" w:hAnsi="Times New Roman;sans-serif"/>
          <w:b w:val="false"/>
          <w:color w:val="000000"/>
          <w:sz w:val="23"/>
        </w:rPr>
        <w:t xml:space="preserve">by certificates and, upon request, every holder of uncertificated shares, shall be entitled to a certificate, to be in such form as shall be prescribed by the Board of Directors, certifying the number of shares in the Corporation owned by such holder. The certificates for such shares shall be numbered in the order in which they shall be issued and shall be signed in the name of the Corporation by the Chair of the Board, the President or a Vice President, and by the Treasurer or an Assistant Treasurer, or the Secretary or an Assistant Secretary. Every certificate surrendered to the Corporation for exchange or transfer shall be cancelled, and no new certificate or certificates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77190"/>
                <wp:effectExtent l="0" t="0" r="0" b="0"/>
                <wp:wrapNone/>
                <wp:docPr id="70" name="Frame56"/>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shall be issued in exchange for any existing certificate until such certificate shall have been so cancelled, except in cases provided for in Section 5.04.</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5.02    </w:t>
      </w:r>
      <w:r>
        <w:rPr>
          <w:rFonts w:ascii="Times New Roman;sans-serif" w:hAnsi="Times New Roman;sans-serif"/>
          <w:b/>
          <w:color w:val="000000"/>
          <w:sz w:val="23"/>
          <w:u w:val="single"/>
        </w:rPr>
        <w:t>Issuance of Stock</w:t>
      </w:r>
      <w:r>
        <w:rPr>
          <w:rFonts w:ascii="Times New Roman;sans-serif" w:hAnsi="Times New Roman;sans-serif"/>
          <w:b w:val="false"/>
          <w:color w:val="000000"/>
          <w:sz w:val="23"/>
        </w:rPr>
        <w:t>. The Board of Directors is authorized to cause to be issued stock of the Corporation up to the full amount authorized by the Articles of Incorporation in such amounts and for such consideration as may be determined by the Board of Directors. Treasury shares may be disposed of by the Corporation for such consideration as may be fixed by the Board of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5.03    </w:t>
      </w:r>
      <w:r>
        <w:rPr>
          <w:rFonts w:ascii="Times New Roman;sans-serif" w:hAnsi="Times New Roman;sans-serif"/>
          <w:b/>
          <w:color w:val="000000"/>
          <w:sz w:val="23"/>
          <w:u w:val="single"/>
        </w:rPr>
        <w:t>Transfer of Stock</w:t>
      </w:r>
      <w:r>
        <w:rPr>
          <w:rFonts w:ascii="Times New Roman;sans-serif" w:hAnsi="Times New Roman;sans-serif"/>
          <w:b w:val="false"/>
          <w:color w:val="000000"/>
          <w:sz w:val="23"/>
        </w:rPr>
        <w:t>. Transfer of stock on the books of the Corporation may be authorized only by the record holder of such stock, the holder’s legal representative or the holder’s attorney lawfully constituted in writing and, in the case of stock represented by a certificate or certificates, upon surrender of the certificate or the certificates for such stock, and, in the case of uncertificated stock, upon receipt of proper transfer instructions and compliance with appropriate procedures for transferring stock in uncertificated form (in each case, with such proof of the authenticity of signature as the Corporation or its transfer agent may reasonably require). The Corporation may treat as the absolute owner of stock of the Corporation the person or persons in whose name stock is registered on the books of the Corporation. The Board of Directors may from time to time establish rules and regulations governing the issuance, transfer and registration of shares of stock of the Corporation.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5.04    </w:t>
      </w:r>
      <w:r>
        <w:rPr>
          <w:rFonts w:ascii="Times New Roman;sans-serif" w:hAnsi="Times New Roman;sans-serif"/>
          <w:b/>
          <w:color w:val="000000"/>
          <w:sz w:val="23"/>
          <w:u w:val="single"/>
        </w:rPr>
        <w:t>Loss of Certificates</w:t>
      </w:r>
      <w:r>
        <w:rPr>
          <w:rFonts w:ascii="Times New Roman;sans-serif" w:hAnsi="Times New Roman;sans-serif"/>
          <w:b w:val="false"/>
          <w:color w:val="000000"/>
          <w:sz w:val="23"/>
        </w:rPr>
        <w:t>. Any stockholder claiming a certificate for stock to be lost, stolen, mutilated or destroyed shall make an affidavit of that fact in such form as the Board of Directors may require and shall, if the Board of Directors so requires, give the Corporation a bond of indemnity in form, in an amount, and with one or more sureties satisfactory to the Board of Directors, to indemnify the Corporation against any claims which may be made against it on account of the alleged loss, theft or destruction of the certificate or issuance of such new certificate. The Corporation may then issue (a) a new certificate or certificates of stock or (b) uncertificated shares, for the same number of shares represented by the certificate claimed to have been lost, stolen, mutilated or destroyed.</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5.05    </w:t>
      </w:r>
      <w:r>
        <w:rPr>
          <w:rFonts w:ascii="Times New Roman;sans-serif" w:hAnsi="Times New Roman;sans-serif"/>
          <w:b/>
          <w:color w:val="000000"/>
          <w:sz w:val="23"/>
          <w:u w:val="single"/>
        </w:rPr>
        <w:t>Facsimile Signatures</w:t>
      </w:r>
      <w:r>
        <w:rPr>
          <w:rFonts w:ascii="Times New Roman;sans-serif" w:hAnsi="Times New Roman;sans-serif"/>
          <w:b w:val="false"/>
          <w:color w:val="000000"/>
          <w:sz w:val="23"/>
        </w:rPr>
        <w:t>. Whenever any certificate is countersigned by a transfer agent or by a registrar other than the Corporation or its employee, then the signatures of the officers or agents of the Corporation may be a facsimile. In case any officer, transfer agent or registrar who has signed or whose facsimile signature has been placed on any such certificate shall cease to be such officer, transfer agent or registrar before such certificate is issued, it may be issued by the Corporation as though the person who signed such certificate or whose facsimile signature or signatures had been placed thereon were such officer, transfer agent or registrar at the date of issue.</w:t>
      </w:r>
    </w:p>
    <w:p>
      <w:pPr>
        <w:pStyle w:val="TextBody"/>
        <w:bidi w:val="0"/>
        <w:spacing w:lineRule="auto" w:line="268" w:before="0" w:after="0"/>
        <w:jc w:val="center"/>
        <w:rPr>
          <w:rFonts w:ascii="Times New Roman;sans-serif" w:hAnsi="Times New Roman;sans-serif"/>
          <w:b/>
          <w:color w:val="000000"/>
          <w:sz w:val="23"/>
        </w:rPr>
      </w:pPr>
      <w:r>
        <w:rPr>
          <w:rFonts w:ascii="Times New Roman;sans-serif" w:hAnsi="Times New Roman;sans-serif"/>
          <w:b/>
          <w:color w:val="000000"/>
          <w:sz w:val="23"/>
        </w:rPr>
        <w:t>ARTICLE VI</w: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Books and Records, Audit, Fiscal Year</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6.01    </w:t>
      </w:r>
      <w:r>
        <w:rPr>
          <w:rFonts w:ascii="Times New Roman;sans-serif" w:hAnsi="Times New Roman;sans-serif"/>
          <w:b/>
          <w:color w:val="000000"/>
          <w:sz w:val="23"/>
          <w:u w:val="single"/>
        </w:rPr>
        <w:t>Books and Records</w:t>
      </w:r>
      <w:r>
        <w:rPr>
          <w:rFonts w:ascii="Times New Roman;sans-serif" w:hAnsi="Times New Roman;sans-serif"/>
          <w:b w:val="false"/>
          <w:color w:val="000000"/>
          <w:sz w:val="23"/>
        </w:rPr>
        <w:t>. The Board of Directors of the Corporation shall cause to be kept: (a) a share ledger which shall be a charge of an officer designated by the Board of Directors; (b) records of all proceedings of stockholders and directors; and (c) such other records and books of account as shall be necessary and appropriate to the conduct of the corporate business.</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77190"/>
                <wp:effectExtent l="0" t="0" r="0" b="0"/>
                <wp:wrapNone/>
                <wp:docPr id="71" name="Frame57"/>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6.02    </w:t>
      </w:r>
      <w:r>
        <w:rPr>
          <w:rFonts w:ascii="Times New Roman;sans-serif" w:hAnsi="Times New Roman;sans-serif"/>
          <w:b/>
          <w:color w:val="000000"/>
          <w:sz w:val="23"/>
          <w:u w:val="single"/>
        </w:rPr>
        <w:t>Audit</w:t>
      </w:r>
      <w:r>
        <w:rPr>
          <w:rFonts w:ascii="Times New Roman;sans-serif" w:hAnsi="Times New Roman;sans-serif"/>
          <w:b w:val="false"/>
          <w:color w:val="000000"/>
          <w:sz w:val="23"/>
        </w:rPr>
        <w:t>. The Board of Directors shall cause the records and books of account of the Corporation to be audited at least once in each fiscal year and at such other times as it may deem necessary or appropriate.</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6.03    </w:t>
      </w:r>
      <w:r>
        <w:rPr>
          <w:rFonts w:ascii="Times New Roman;sans-serif" w:hAnsi="Times New Roman;sans-serif"/>
          <w:b/>
          <w:color w:val="000000"/>
          <w:sz w:val="23"/>
          <w:u w:val="single"/>
        </w:rPr>
        <w:t>Annual List</w:t>
      </w:r>
      <w:r>
        <w:rPr>
          <w:rFonts w:ascii="Times New Roman;sans-serif" w:hAnsi="Times New Roman;sans-serif"/>
          <w:b w:val="false"/>
          <w:color w:val="000000"/>
          <w:sz w:val="23"/>
        </w:rPr>
        <w:t>. The Board of Directors shall cause to be filed with the Nevada Secretary of State in each year the annual list required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6.04    </w:t>
      </w:r>
      <w:r>
        <w:rPr>
          <w:rFonts w:ascii="Times New Roman;sans-serif" w:hAnsi="Times New Roman;sans-serif"/>
          <w:b/>
          <w:color w:val="000000"/>
          <w:sz w:val="23"/>
          <w:u w:val="single"/>
        </w:rPr>
        <w:t>Fiscal Year</w:t>
      </w:r>
      <w:r>
        <w:rPr>
          <w:rFonts w:ascii="Times New Roman;sans-serif" w:hAnsi="Times New Roman;sans-serif"/>
          <w:b w:val="false"/>
          <w:color w:val="000000"/>
          <w:sz w:val="23"/>
        </w:rPr>
        <w:t>. The fiscal year of the Corporation shall end on December 31 of each year.</w:t>
      </w:r>
    </w:p>
    <w:p>
      <w:pPr>
        <w:pStyle w:val="TextBody"/>
        <w:bidi w:val="0"/>
        <w:spacing w:lineRule="auto" w:line="268" w:before="0" w:after="0"/>
        <w:jc w:val="center"/>
        <w:rPr>
          <w:rFonts w:ascii="Times New Roman;sans-serif" w:hAnsi="Times New Roman;sans-serif"/>
          <w:b/>
          <w:color w:val="000000"/>
          <w:sz w:val="23"/>
        </w:rPr>
      </w:pPr>
      <w:r>
        <w:rPr>
          <w:rFonts w:ascii="Times New Roman;sans-serif" w:hAnsi="Times New Roman;sans-serif"/>
          <w:b/>
          <w:color w:val="000000"/>
          <w:sz w:val="23"/>
        </w:rPr>
        <w:t>ARTICLE VII</w: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Indemnification; Expenses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7.01    </w:t>
      </w:r>
      <w:r>
        <w:rPr>
          <w:rFonts w:ascii="Times New Roman;sans-serif" w:hAnsi="Times New Roman;sans-serif"/>
          <w:b/>
          <w:color w:val="000000"/>
          <w:sz w:val="23"/>
          <w:u w:val="single"/>
        </w:rPr>
        <w:t>Indemnification</w:t>
      </w:r>
      <w:r>
        <w:rPr>
          <w:rFonts w:ascii="Times New Roman;sans-serif" w:hAnsi="Times New Roman;sans-serif"/>
          <w:b w:val="false"/>
          <w:color w:val="000000"/>
          <w:sz w:val="23"/>
        </w:rPr>
        <w:t>. The Corporation shall indemnify and hold harmless, and the Board of Directors may authorize the purchase and maintenance of insurance or make other financial arrangements for the purpose of such indemnification, any person entitled to indemnification under Article VII(A) of the Articles of Incorporation who was or is a party or is threatened to be made a party to any threatened, pending or completed action, suit or proceeding, whether civil, criminal, administrative or investigative, in such manner, under such circumstances and to the fullest extent permitted by the Articles of Incorporation and the NRS.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7.02    </w:t>
      </w:r>
      <w:r>
        <w:rPr>
          <w:rFonts w:ascii="Times New Roman;sans-serif" w:hAnsi="Times New Roman;sans-serif"/>
          <w:b/>
          <w:color w:val="000000"/>
          <w:sz w:val="23"/>
          <w:u w:val="single"/>
        </w:rPr>
        <w:t>Payment of Expenses</w:t>
      </w:r>
      <w:r>
        <w:rPr>
          <w:rFonts w:ascii="Times New Roman;sans-serif" w:hAnsi="Times New Roman;sans-serif"/>
          <w:b w:val="false"/>
          <w:color w:val="000000"/>
          <w:sz w:val="23"/>
        </w:rPr>
        <w:t>. In addition to any other rights of indemnification permitted by the laws of the State of Nevada or as may be provided for by the Corporation in the Articles of Incorporation, these Bylaws or by agreement, the expenses of any current and former directors and officers incurred in defending any threatened, pending or completed action, suit or proceeding (including, without limitation, an action, suit or proceeding by or in the right of the Corporation), whether civil, criminal, administrative or investigative, involving alleged acts or omissions of such person in his or her capacity as a director or officer of the Corporation, or while serving in any capacity at the request of the Corporation as a director, officer, employee, agent, member, manager, managing member, partner or fiduciary of, or in any other capacity for, another corporation, limited liability company, partnership, joint venture, trust or other enterprise, shall be paid by the Corporation or through insurance purchased and maintained by the Corporation or through other financial arrangements made by the Corporation, as they are incurred and in advance of the final disposition of the action, suit or proceeding, upon receipt of an undertaking by or on behalf of such person to repay the amount if it is ultimately determined by a court of competent jurisdiction that he or she is not entitled to be indemnified by the Corporation. To the extent that any current or former director or officer is successful on the merits or otherwise in defense of any such action, suit or proceeding, or in the defense of any claim, issue or matter therein, the Corporation shall indemnify him or her against expenses, including attorneys’ fees, actually and reasonably incurred by him or her in connection with the defense.</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7.03    </w:t>
      </w:r>
      <w:r>
        <w:rPr>
          <w:rFonts w:ascii="Times New Roman;sans-serif" w:hAnsi="Times New Roman;sans-serif"/>
          <w:b/>
          <w:color w:val="000000"/>
          <w:sz w:val="23"/>
          <w:u w:val="single"/>
        </w:rPr>
        <w:t>Limitation on Liability</w:t>
      </w:r>
      <w:r>
        <w:rPr>
          <w:rFonts w:ascii="Times New Roman;sans-serif" w:hAnsi="Times New Roman;sans-serif"/>
          <w:b w:val="false"/>
          <w:color w:val="000000"/>
          <w:sz w:val="23"/>
        </w:rPr>
        <w:t>. The liability of directors and officers of the Corporation shall be eliminated or limited to the fullest extent permitted by the NRS.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from time to time.</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77190"/>
                <wp:effectExtent l="0" t="0" r="0" b="0"/>
                <wp:wrapNone/>
                <wp:docPr id="72" name="Frame58"/>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7.04    </w:t>
      </w:r>
      <w:r>
        <w:rPr>
          <w:rFonts w:ascii="Times New Roman;sans-serif" w:hAnsi="Times New Roman;sans-serif"/>
          <w:b/>
          <w:color w:val="000000"/>
          <w:sz w:val="23"/>
          <w:u w:val="single"/>
        </w:rPr>
        <w:t>Amendment</w:t>
      </w:r>
      <w:r>
        <w:rPr>
          <w:rFonts w:ascii="Times New Roman;sans-serif" w:hAnsi="Times New Roman;sans-serif"/>
          <w:b w:val="false"/>
          <w:color w:val="000000"/>
          <w:sz w:val="23"/>
          <w:u w:val="single"/>
        </w:rPr>
        <w:t>.</w:t>
      </w:r>
      <w:r>
        <w:rPr>
          <w:color w:val="000000"/>
        </w:rPr>
        <w:t xml:space="preserve"> </w:t>
      </w:r>
      <w:r>
        <w:rPr>
          <w:rFonts w:ascii="Times New Roman;sans-serif" w:hAnsi="Times New Roman;sans-serif"/>
          <w:b w:val="false"/>
          <w:color w:val="000000"/>
          <w:sz w:val="23"/>
        </w:rPr>
        <w:t>Any amendment to or repeal of any provision or section of this Article VII shall be prospective only, and shall not apply to or have any effect on the right or protection of, or the liability or alleged liability of, any current or former director or officer of the Corporation existing prior to or at the time of such amendment or repeal. In the event of any conflict between any provision or section of this Article VII and any other article of these Bylaws, the terms and provisions of this Article VII shall control.</w:t>
      </w:r>
    </w:p>
    <w:p>
      <w:pPr>
        <w:pStyle w:val="TextBody"/>
        <w:bidi w:val="0"/>
        <w:spacing w:lineRule="auto" w:line="268" w:before="0" w:after="0"/>
        <w:jc w:val="center"/>
        <w:rPr>
          <w:rFonts w:ascii="Times New Roman;sans-serif" w:hAnsi="Times New Roman;sans-serif"/>
          <w:b/>
          <w:color w:val="000000"/>
          <w:sz w:val="23"/>
        </w:rPr>
      </w:pPr>
      <w:r>
        <w:rPr>
          <w:rFonts w:ascii="Times New Roman;sans-serif" w:hAnsi="Times New Roman;sans-serif"/>
          <w:b/>
          <w:color w:val="000000"/>
          <w:sz w:val="23"/>
        </w:rPr>
        <w:t>ARTICLE VIII</w: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Miscellaneous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8.01    </w:t>
      </w:r>
      <w:r>
        <w:rPr>
          <w:rFonts w:ascii="Times New Roman;sans-serif" w:hAnsi="Times New Roman;sans-serif"/>
          <w:b/>
          <w:color w:val="000000"/>
          <w:sz w:val="23"/>
          <w:u w:val="single"/>
        </w:rPr>
        <w:t>Fixing Date for Determination of Stockholders of Record</w:t>
      </w:r>
      <w:r>
        <w:rPr>
          <w:rFonts w:ascii="Times New Roman;sans-serif" w:hAnsi="Times New Roman;sans-serif"/>
          <w:b w:val="false"/>
          <w:color w:val="000000"/>
          <w:sz w:val="23"/>
        </w:rPr>
        <w:t>.</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(a)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(b)    If no record date is fixed:</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(ii)    The record date for determining stockholders entitled to express consent to corporate action in writing without a meeting, when no prior action by the Board of Directors is necessary, shall be the day on which the first written consent is expressed.</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(iii)    The record date for determining stockholders for any other purpose shall be at the close of business on the day on which the Board of Directors adopts the resolution relating thereto.</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(c)    A determination of stockholders of record entitled to notice of or to vote at a meeting of stockholders shall apply to any adjournment of the meeting or to any postponement of any meeting of stockholders to a date not more than 60 days after the record date; provided, that the Board of Directors may fix a new record date for the adjourned meeting and must fix a new record date if the meeting is adjourned to a date more than 60 days later than the date set for the original meeting.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8.02    </w:t>
      </w:r>
      <w:r>
        <w:rPr>
          <w:rFonts w:ascii="Times New Roman;sans-serif" w:hAnsi="Times New Roman;sans-serif"/>
          <w:b/>
          <w:color w:val="000000"/>
          <w:sz w:val="23"/>
          <w:u w:val="single"/>
        </w:rPr>
        <w:t>Periods of Time</w:t>
      </w:r>
      <w:r>
        <w:rPr>
          <w:rFonts w:ascii="Times New Roman;sans-serif" w:hAnsi="Times New Roman;sans-serif"/>
          <w:b w:val="false"/>
          <w:color w:val="000000"/>
          <w:sz w:val="23"/>
        </w:rPr>
        <w:t>. During any period of time prescribed by these Bylaws, the date from which the designated period of time begins to run shall not be included, and the last day of the period so computed shall be included.</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8.03    </w:t>
      </w:r>
      <w:r>
        <w:rPr>
          <w:rFonts w:ascii="Times New Roman;sans-serif" w:hAnsi="Times New Roman;sans-serif"/>
          <w:b/>
          <w:color w:val="000000"/>
          <w:sz w:val="23"/>
          <w:u w:val="single"/>
        </w:rPr>
        <w:t>Voting Securities Held by the Corporation</w:t>
      </w:r>
      <w:r>
        <w:rPr>
          <w:rFonts w:ascii="Times New Roman;sans-serif" w:hAnsi="Times New Roman;sans-serif"/>
          <w:b w:val="false"/>
          <w:color w:val="000000"/>
          <w:sz w:val="23"/>
        </w:rPr>
        <w:t xml:space="preserve">. Unless otherwise ordered by the Board of Directors, the President shall have full power and authority on behalf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77190"/>
                <wp:effectExtent l="0" t="0" r="0" b="0"/>
                <wp:wrapNone/>
                <wp:docPr id="73" name="Frame59"/>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Corporation (a) to attend, to act and to vote at any meeting of security holders or owners of other entities in which the Corporation may hold securities or ownership interests; (b) to execute any proxy for such meeting on behalf of the Corporation; or (c) to execute a written action in lieu of a meeting of such other entity on behalf of the Corporation. At such meeting, by such proxy or by such writing in lieu of meeting, the President shall possess and may exercise any and all rights and powers incident to the ownership of such securities or ownership interests that the Corporation might have possessed and exercised if it had been present. The Board of Directors may, from time to time, confer like powers upon any other person or persons.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8.04    </w:t>
      </w:r>
      <w:r>
        <w:rPr>
          <w:rFonts w:ascii="Times New Roman;sans-serif" w:hAnsi="Times New Roman;sans-serif"/>
          <w:b/>
          <w:color w:val="000000"/>
          <w:sz w:val="23"/>
          <w:u w:val="single"/>
        </w:rPr>
        <w:t>Purchase and Sale of Securities</w:t>
      </w:r>
      <w:r>
        <w:rPr>
          <w:rFonts w:ascii="Times New Roman;sans-serif" w:hAnsi="Times New Roman;sans-serif"/>
          <w:b w:val="false"/>
          <w:color w:val="000000"/>
          <w:sz w:val="23"/>
        </w:rPr>
        <w:t>. Unless otherwise ordered by the Board of Directors, the President shall have power and authority on behalf of the Corporation to purchase, sell, transfer or encumber any and all securities or ownership interests of any other entity owned by the Corporation and may execute and deliver such documents as may be necessary to effectuate such purchase, sale, transfer or encumbrance. The Board of Directors may, from time to time, confer like powers upon any other person or persons.</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 xml:space="preserve">Section 8.05     </w:t>
      </w:r>
      <w:r>
        <w:rPr>
          <w:rFonts w:ascii="Times New Roman;sans-serif" w:hAnsi="Times New Roman;sans-serif"/>
          <w:b/>
          <w:color w:val="000000"/>
          <w:sz w:val="23"/>
          <w:u w:val="single"/>
        </w:rPr>
        <w:t>Restrictions on Transfer and Ownership.</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(a)    Invalid Securities.</w: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(i)    Effective immediately upon transmittal by the Corporation of a notice pursuant to paragraph (A)(2) of Article VIII of the Articles of Incorporation (a “</w:t>
      </w:r>
      <w:r>
        <w:rPr>
          <w:rFonts w:ascii="Times New Roman;sans-serif" w:hAnsi="Times New Roman;sans-serif"/>
          <w:b w:val="false"/>
          <w:color w:val="000000"/>
          <w:sz w:val="23"/>
          <w:u w:val="single"/>
        </w:rPr>
        <w:t>Redemption Notice</w:t>
      </w:r>
      <w:r>
        <w:rPr>
          <w:color w:val="000000"/>
        </w:rPr>
        <w:t>”</w:t>
      </w:r>
      <w:r>
        <w:rPr>
          <w:rFonts w:ascii="Times New Roman;sans-serif" w:hAnsi="Times New Roman;sans-serif"/>
          <w:b w:val="false"/>
          <w:color w:val="000000"/>
          <w:sz w:val="23"/>
        </w:rPr>
        <w:t>) to a Disqualified Holder (as defined in paragraph (J)(2) of Article VIII of the Articles of Incorporation), the Securities (as defined in paragraph (J)(8) of Article VIII of the Articles of Incorporation) specified in such Redemption Notice shall become “</w:t>
      </w:r>
      <w:r>
        <w:rPr>
          <w:rFonts w:ascii="Times New Roman;sans-serif" w:hAnsi="Times New Roman;sans-serif"/>
          <w:b w:val="false"/>
          <w:color w:val="000000"/>
          <w:sz w:val="23"/>
          <w:u w:val="single"/>
        </w:rPr>
        <w:t>Invalid Securities</w:t>
      </w:r>
      <w:r>
        <w:rPr>
          <w:color w:val="000000"/>
        </w:rPr>
        <w:t xml:space="preserve">” </w:t>
      </w:r>
      <w:r>
        <w:rPr>
          <w:rFonts w:ascii="Times New Roman;sans-serif" w:hAnsi="Times New Roman;sans-serif"/>
          <w:b w:val="false"/>
          <w:color w:val="000000"/>
          <w:sz w:val="23"/>
        </w:rPr>
        <w:t>for purposes of this Section 8.05.</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(ii)    Promptly following transmittal by the Corporation of a Redemption Notice, the Corporation shall Announce Publicly that such Redemption Notice has been given and that the terms of this Section 8.05 shall apply to the Securities specified in such Redemption Notice.</w:t>
      </w:r>
    </w:p>
    <w:p>
      <w:pPr>
        <w:pStyle w:val="TextBody"/>
        <w:bidi w:val="0"/>
        <w:spacing w:lineRule="auto" w:line="288" w:before="0" w:after="240"/>
        <w:ind w:left="0" w:right="0" w:firstLine="1440"/>
        <w:jc w:val="both"/>
        <w:rPr/>
      </w:pPr>
      <w:r>
        <w:rPr>
          <w:rFonts w:ascii="Times New Roman;sans-serif" w:hAnsi="Times New Roman;sans-serif"/>
          <w:b w:val="false"/>
          <w:color w:val="000000"/>
          <w:sz w:val="23"/>
        </w:rPr>
        <w:t>(b)    </w:t>
      </w:r>
      <w:r>
        <w:rPr>
          <w:rFonts w:ascii="Times New Roman;sans-serif" w:hAnsi="Times New Roman;sans-serif"/>
          <w:b/>
          <w:color w:val="000000"/>
          <w:sz w:val="23"/>
          <w:u w:val="single"/>
        </w:rPr>
        <w:t>Additional Definitions</w:t>
      </w:r>
      <w:r>
        <w:rPr>
          <w:rFonts w:ascii="Times New Roman;sans-serif" w:hAnsi="Times New Roman;sans-serif"/>
          <w:b w:val="false"/>
          <w:color w:val="000000"/>
          <w:sz w:val="23"/>
        </w:rPr>
        <w:t>. As used in this Section 8.05 only, the following terms shall have the following respective meanings:</w: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(i)    “</w:t>
      </w:r>
      <w:r>
        <w:rPr>
          <w:rFonts w:ascii="Times New Roman;sans-serif" w:hAnsi="Times New Roman;sans-serif"/>
          <w:b w:val="false"/>
          <w:color w:val="000000"/>
          <w:sz w:val="23"/>
          <w:u w:val="single"/>
        </w:rPr>
        <w:t>Acquire</w:t>
      </w:r>
      <w:r>
        <w:rPr>
          <w:color w:val="000000"/>
        </w:rPr>
        <w:t xml:space="preserve">” </w:t>
      </w:r>
      <w:r>
        <w:rPr>
          <w:rFonts w:ascii="Times New Roman;sans-serif" w:hAnsi="Times New Roman;sans-serif"/>
          <w:b w:val="false"/>
          <w:color w:val="000000"/>
          <w:sz w:val="23"/>
        </w:rPr>
        <w:t>means the acquisition, directly or indirectly, of ownership of Securities by any means, including, without limitation: (i) the exercise of any rights under any option, warrant, convertible security, pledge or other security interest or similar right to acquire Securities or (ii) the entering into of any swap, hedge or other arrangement that results in the acquisition of any of the economic benefits of ownership of Securities. The terms “</w:t>
      </w:r>
      <w:r>
        <w:rPr>
          <w:rFonts w:ascii="Times New Roman;sans-serif" w:hAnsi="Times New Roman;sans-serif"/>
          <w:b w:val="false"/>
          <w:color w:val="000000"/>
          <w:sz w:val="23"/>
          <w:u w:val="single"/>
        </w:rPr>
        <w:t>Acquires</w:t>
      </w:r>
      <w:r>
        <w:rPr>
          <w:color w:val="000000"/>
        </w:rPr>
        <w:t xml:space="preserve">” </w:t>
      </w:r>
      <w:r>
        <w:rPr>
          <w:rFonts w:ascii="Times New Roman;sans-serif" w:hAnsi="Times New Roman;sans-serif"/>
          <w:b w:val="false"/>
          <w:color w:val="000000"/>
          <w:sz w:val="23"/>
        </w:rPr>
        <w:t>and “</w:t>
      </w:r>
      <w:r>
        <w:rPr>
          <w:rFonts w:ascii="Times New Roman;sans-serif" w:hAnsi="Times New Roman;sans-serif"/>
          <w:b w:val="false"/>
          <w:color w:val="000000"/>
          <w:sz w:val="23"/>
          <w:u w:val="single"/>
        </w:rPr>
        <w:t>Acquisition</w:t>
      </w:r>
      <w:r>
        <w:rPr>
          <w:color w:val="000000"/>
        </w:rPr>
        <w:t xml:space="preserve">” </w:t>
      </w:r>
      <w:r>
        <w:rPr>
          <w:rFonts w:ascii="Times New Roman;sans-serif" w:hAnsi="Times New Roman;sans-serif"/>
          <w:b w:val="false"/>
          <w:color w:val="000000"/>
          <w:sz w:val="23"/>
        </w:rPr>
        <w:t xml:space="preserve">shall have the same meaning, </w:t>
      </w:r>
      <w:r>
        <w:rPr>
          <w:rFonts w:ascii="Times New Roman;sans-serif" w:hAnsi="Times New Roman;sans-serif"/>
          <w:b w:val="false"/>
          <w:i/>
          <w:color w:val="000000"/>
          <w:sz w:val="23"/>
        </w:rPr>
        <w:t>mutatis mutandis</w:t>
      </w:r>
      <w:r>
        <w:rPr>
          <w:rFonts w:ascii="Times New Roman;sans-serif" w:hAnsi="Times New Roman;sans-serif"/>
          <w:b w:val="false"/>
          <w:color w:val="000000"/>
          <w:sz w:val="23"/>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(ii)    “</w:t>
      </w:r>
      <w:r>
        <w:rPr>
          <w:rFonts w:ascii="Times New Roman;sans-serif" w:hAnsi="Times New Roman;sans-serif"/>
          <w:b w:val="false"/>
          <w:color w:val="000000"/>
          <w:sz w:val="23"/>
          <w:u w:val="single"/>
        </w:rPr>
        <w:t>Announce Publicly</w:t>
      </w:r>
      <w:r>
        <w:rPr>
          <w:color w:val="000000"/>
        </w:rPr>
        <w:t xml:space="preserve">” </w:t>
      </w:r>
      <w:r>
        <w:rPr>
          <w:rFonts w:ascii="Times New Roman;sans-serif" w:hAnsi="Times New Roman;sans-serif"/>
          <w:b w:val="false"/>
          <w:color w:val="000000"/>
          <w:sz w:val="23"/>
        </w:rPr>
        <w:t>means disclosure (i) in a press release reported by the Dow Jones, Newswire, Business Wire, Reuters Information Service or any similar or successor news wire service or (ii) in a communication distributed generally to stockholders or in a document publicly filed by the Corporation with the Securities and Exchange Commission (the “SEC”) pursuant to Sections 13, 14 or 15(d) of the Securities Exchange Act of 1934, as amended, or any successor provisions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77190"/>
                <wp:effectExtent l="0" t="0" r="0" b="0"/>
                <wp:wrapNone/>
                <wp:docPr id="74" name="Frame60"/>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(iii)    “</w:t>
      </w:r>
      <w:r>
        <w:rPr>
          <w:rFonts w:ascii="Times New Roman;sans-serif" w:hAnsi="Times New Roman;sans-serif"/>
          <w:b w:val="false"/>
          <w:color w:val="000000"/>
          <w:sz w:val="23"/>
          <w:u w:val="single"/>
        </w:rPr>
        <w:t>Disposition</w:t>
      </w:r>
      <w:r>
        <w:rPr>
          <w:color w:val="000000"/>
        </w:rPr>
        <w:t xml:space="preserve">” </w:t>
      </w:r>
      <w:r>
        <w:rPr>
          <w:rFonts w:ascii="Times New Roman;sans-serif" w:hAnsi="Times New Roman;sans-serif"/>
          <w:b w:val="false"/>
          <w:color w:val="000000"/>
          <w:sz w:val="23"/>
        </w:rPr>
        <w:t>means the sale, transfer, exchange, assignment, liquidation, conveyance, pledge, abandonment, distribution, contribution, or other disposition of Securities.</w: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(iv)    “</w:t>
      </w:r>
      <w:r>
        <w:rPr>
          <w:rFonts w:ascii="Times New Roman;sans-serif" w:hAnsi="Times New Roman;sans-serif"/>
          <w:b w:val="false"/>
          <w:color w:val="000000"/>
          <w:sz w:val="23"/>
          <w:u w:val="single"/>
        </w:rPr>
        <w:t>Person</w:t>
      </w:r>
      <w:r>
        <w:rPr>
          <w:color w:val="000000"/>
        </w:rPr>
        <w:t xml:space="preserve">” </w:t>
      </w:r>
      <w:r>
        <w:rPr>
          <w:rFonts w:ascii="Times New Roman;sans-serif" w:hAnsi="Times New Roman;sans-serif"/>
          <w:b w:val="false"/>
          <w:color w:val="000000"/>
          <w:sz w:val="23"/>
        </w:rPr>
        <w:t>means an individual, corporation, estate, trust, association, limited liability company, partnership, joint venture or similar organization or entity.</w: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(v)    “</w:t>
      </w:r>
      <w:r>
        <w:rPr>
          <w:rFonts w:ascii="Times New Roman;sans-serif" w:hAnsi="Times New Roman;sans-serif"/>
          <w:b w:val="false"/>
          <w:color w:val="000000"/>
          <w:sz w:val="23"/>
          <w:u w:val="single"/>
        </w:rPr>
        <w:t>Transfer</w:t>
      </w:r>
      <w:r>
        <w:rPr>
          <w:color w:val="000000"/>
        </w:rPr>
        <w:t xml:space="preserve">” </w:t>
      </w:r>
      <w:r>
        <w:rPr>
          <w:rFonts w:ascii="Times New Roman;sans-serif" w:hAnsi="Times New Roman;sans-serif"/>
          <w:b w:val="false"/>
          <w:color w:val="000000"/>
          <w:sz w:val="23"/>
        </w:rPr>
        <w:t>means any direct or indirect Acquisition or Disposition.</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(c)    Transfer Limitations.</w: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 xml:space="preserve">(i)    No Disqualified Holder or Purported Transferee (as defined below) shall be permitted to make a Transfer of Invalid Securities, and any such purported Transfer will be void </w:t>
      </w:r>
      <w:r>
        <w:rPr>
          <w:rFonts w:ascii="Times New Roman;sans-serif" w:hAnsi="Times New Roman;sans-serif"/>
          <w:b w:val="false"/>
          <w:i/>
          <w:color w:val="000000"/>
          <w:sz w:val="23"/>
        </w:rPr>
        <w:t xml:space="preserve">ab initio </w:t>
      </w:r>
      <w:r>
        <w:rPr>
          <w:rFonts w:ascii="Times New Roman;sans-serif" w:hAnsi="Times New Roman;sans-serif"/>
          <w:b w:val="false"/>
          <w:color w:val="000000"/>
          <w:sz w:val="23"/>
        </w:rPr>
        <w:t>(any such purported Transfer, a “</w:t>
      </w:r>
      <w:r>
        <w:rPr>
          <w:rFonts w:ascii="Times New Roman;sans-serif" w:hAnsi="Times New Roman;sans-serif"/>
          <w:b w:val="false"/>
          <w:color w:val="000000"/>
          <w:sz w:val="23"/>
          <w:u w:val="single"/>
        </w:rPr>
        <w:t>Prohibited Transfer</w:t>
      </w:r>
      <w:r>
        <w:rPr>
          <w:color w:val="000000"/>
        </w:rPr>
        <w:t>”</w:t>
      </w:r>
      <w:r>
        <w:rPr>
          <w:rFonts w:ascii="Times New Roman;sans-serif" w:hAnsi="Times New Roman;sans-serif"/>
          <w:b w:val="false"/>
          <w:color w:val="000000"/>
          <w:sz w:val="23"/>
        </w:rPr>
        <w:t>).</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(ii)    The restrictions set forth in Section 8.05(c)(1) shall not apply to a proposed Transfer, and a Transfer shall not be treated as a Prohibited Transfer hereunder, if the transferor or the transferee obtains prior approval of the proposed Transfer by the Board of Directors. As a condition to granting its approval pursuant to this Section 8.05(c)(2), the Board of Directors may, in its sole discretion, require and/or obtain (at the expense of the transferor and/or transferee) such documentation, information and action, if any, as it determines in its sole discretion to be appropriate, including, without limitation, representations and warranties from the transferor and/or transferee, such opinions of counsel to be rendered by counsel selected by (or acceptable to) the Board of Directors, and such other advice, in each case as to such matters as the Board of Directors determines in its sole discretion is appropriate.</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(iii)    The restrictions set forth in Section 8.05(c)(1) shall not apply to an Acquisition by the Corporation. Once Invalid Securities have been Acquired by the Corporation, such Securities shall cease to be Invalid Securities.</w:t>
      </w:r>
    </w:p>
    <w:p>
      <w:pPr>
        <w:pStyle w:val="TextBody"/>
        <w:bidi w:val="0"/>
        <w:spacing w:lineRule="auto" w:line="288" w:before="0" w:after="240"/>
        <w:ind w:left="0" w:right="0" w:firstLine="1440"/>
        <w:jc w:val="both"/>
        <w:rPr>
          <w:rFonts w:ascii="Times New Roman;sans-serif" w:hAnsi="Times New Roman;sans-serif"/>
          <w:b w:val="false"/>
          <w:color w:val="000000"/>
          <w:sz w:val="23"/>
        </w:rPr>
      </w:pPr>
      <w:r>
        <w:rPr>
          <w:rFonts w:ascii="Times New Roman;sans-serif" w:hAnsi="Times New Roman;sans-serif"/>
          <w:b w:val="false"/>
          <w:color w:val="000000"/>
          <w:sz w:val="23"/>
        </w:rPr>
        <w:t>(d)    Treatment of Invalid Securities.</w: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(i)    No employee or agent of the Corporation shall record any Prohibited Transfer, and the purported transferee of a Prohibited Transfer (the “</w:t>
      </w:r>
      <w:r>
        <w:rPr>
          <w:rFonts w:ascii="Times New Roman;sans-serif" w:hAnsi="Times New Roman;sans-serif"/>
          <w:b w:val="false"/>
          <w:color w:val="000000"/>
          <w:sz w:val="23"/>
          <w:u w:val="single"/>
        </w:rPr>
        <w:t>Purported Transferee</w:t>
      </w:r>
      <w:r>
        <w:rPr>
          <w:color w:val="000000"/>
        </w:rPr>
        <w:t>”</w:t>
      </w:r>
      <w:r>
        <w:rPr>
          <w:rFonts w:ascii="Times New Roman;sans-serif" w:hAnsi="Times New Roman;sans-serif"/>
          <w:b w:val="false"/>
          <w:color w:val="000000"/>
          <w:sz w:val="23"/>
        </w:rPr>
        <w:t>) shall not be recognized as a security holder of the Corporation for any purpose whatsoever in respect of the Invalid Securities. The Purported Transferee shall not be entitled with respect to such Invalid Securities to any rights of the applicable class of security holders of the Corporation, including, without limitation, any right to vote such Invalid Securities, to receive dividends or distributions, whether liquidating or otherwise, in respect thereof and to effect any Transfer thereof.</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(ii)    Once Invalid Securities exist, the Corporation may require, including, but not limited to, as a condition to the registration of the Transfer of any Securities that may be Invalid Securities or the payment of any dividend or distribution on any such Securities, that the proposed transferee or payee furnish to the Corporation all information reasonably requested by the Corporation to permit a determination of whether such Securities are Invalid Securities. The Corporation may make such arrangements or issue such instructions to the applicable transfer agent, registrar, depositary, trustee or other securities intermediary as may be determined by the Board of Directors to be necessary or advisable to implement this 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77190"/>
                <wp:effectExtent l="0" t="0" r="0" b="0"/>
                <wp:wrapNone/>
                <wp:docPr id="75" name="Frame61"/>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8.05(d), including, without limitation, authorizing such transfer agent, registrar, depositary, trustee or other securities intermediary to require an affidavit from a proposed transferee or payee regarding such Person’s actual and constructive ownership of any such Securities, the transfer of any such Securities and other evidence that a Transfer will not be prohibited by this Section 8.05 or Article VIII of the Articles of Incorporation as a condition to registering any such Transfer or paying any such dividend or distribution.</w: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 xml:space="preserve">(iii)    If a Prohibited Transfer has occurred: (1) the Prohibited Transfer and, if applicable, the registration of such Prohibited Transfer, shall be void </w:t>
      </w:r>
      <w:r>
        <w:rPr>
          <w:rFonts w:ascii="Times New Roman;sans-serif" w:hAnsi="Times New Roman;sans-serif"/>
          <w:b w:val="false"/>
          <w:i/>
          <w:color w:val="000000"/>
          <w:sz w:val="23"/>
        </w:rPr>
        <w:t xml:space="preserve">ab initio </w:t>
      </w:r>
      <w:r>
        <w:rPr>
          <w:rFonts w:ascii="Times New Roman;sans-serif" w:hAnsi="Times New Roman;sans-serif"/>
          <w:b w:val="false"/>
          <w:color w:val="000000"/>
          <w:sz w:val="23"/>
        </w:rPr>
        <w:t>and have no legal effect, (2) the Purported Transferee shall be bound by the terms of the Redemption Notice and Article VIII of the Articles of Incorporation with respect to the Invalid Securities purportedly Transferred, (3) the Redemption Notice shall thereafter constitute a binding agreement on the part of the Corporation to redeem, and on the part of the Purported Transferee to sell, the Invalid Securities in accordance with Article VIII of the Articles of Incorporation (such redemption and sale, the “</w:t>
      </w:r>
      <w:r>
        <w:rPr>
          <w:rFonts w:ascii="Times New Roman;sans-serif" w:hAnsi="Times New Roman;sans-serif"/>
          <w:b w:val="false"/>
          <w:color w:val="000000"/>
          <w:sz w:val="23"/>
          <w:u w:val="single"/>
        </w:rPr>
        <w:t>Purported Transferee Redemption</w:t>
      </w:r>
      <w:r>
        <w:rPr>
          <w:color w:val="000000"/>
        </w:rPr>
        <w:t>”</w:t>
      </w:r>
      <w:r>
        <w:rPr>
          <w:rFonts w:ascii="Times New Roman;sans-serif" w:hAnsi="Times New Roman;sans-serif"/>
          <w:b w:val="false"/>
          <w:color w:val="000000"/>
          <w:sz w:val="23"/>
        </w:rPr>
        <w:t xml:space="preserve">) and (4) the Purported Transferee Redemption shall thereafter be effectuated in accordance with paragraph (A)(2) of Article VIII of the Articles of Incorporation (including, for the avoidance of doubt, at the date, time and place specified in the Redemption Notice and at the Redemption Price (as defined in paragraph (J)(7) of the Articles of Incorporation) determined by reference to the original Purchase Price (as defined in paragraph (J)(6) of the Articles of Incorporation) of the Disqualified Holder to whom the Redemption Notice was given); </w:t>
      </w:r>
      <w:r>
        <w:rPr>
          <w:rFonts w:ascii="Times New Roman;sans-serif" w:hAnsi="Times New Roman;sans-serif"/>
          <w:b w:val="false"/>
          <w:i/>
          <w:color w:val="000000"/>
          <w:sz w:val="23"/>
        </w:rPr>
        <w:t xml:space="preserve">provided </w:t>
      </w:r>
      <w:r>
        <w:rPr>
          <w:rFonts w:ascii="Times New Roman;sans-serif" w:hAnsi="Times New Roman;sans-serif"/>
          <w:b w:val="false"/>
          <w:color w:val="000000"/>
          <w:sz w:val="23"/>
        </w:rPr>
        <w:t xml:space="preserve">that the Corporation shall pay the Redemption Price of any Invalid Securities redeemed in a Purported Transferee Redemption to the Purported Transferee of the Invalid Securities so redeemed, in which case such payment shall extinguish any obligation of the Corporation to make payment in respect of such Invalid Securities to the Disqualified Holder that effectuated the applicable Prohibited Transfer; </w:t>
      </w:r>
      <w:r>
        <w:rPr>
          <w:rFonts w:ascii="Times New Roman;sans-serif" w:hAnsi="Times New Roman;sans-serif"/>
          <w:b w:val="false"/>
          <w:i/>
          <w:color w:val="000000"/>
          <w:sz w:val="23"/>
        </w:rPr>
        <w:t xml:space="preserve">provided further </w:t>
      </w:r>
      <w:r>
        <w:rPr>
          <w:rFonts w:ascii="Times New Roman;sans-serif" w:hAnsi="Times New Roman;sans-serif"/>
          <w:b w:val="false"/>
          <w:color w:val="000000"/>
          <w:sz w:val="23"/>
        </w:rPr>
        <w:t>that if the date specified in the Redemption Notice shall have already passed, the Purported Transferee Redemption shall take place at such date and time as the Corporation reasonably selects by notice to the Purported Transferee.</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(iv)    The recourse of any Purported Transferee to the Corporation in respect of any Prohibited Transfer shall be limited to the Redemption Price as determined in accordance with Section 8.05(d)(3).</w:t>
      </w:r>
    </w:p>
    <w:p>
      <w:pPr>
        <w:pStyle w:val="TextBody"/>
        <w:bidi w:val="0"/>
        <w:spacing w:lineRule="auto" w:line="288" w:before="0" w:after="240"/>
        <w:ind w:left="0" w:right="0" w:firstLine="2160"/>
        <w:jc w:val="both"/>
        <w:rPr/>
      </w:pPr>
      <w:r>
        <w:rPr>
          <w:rFonts w:ascii="Times New Roman;sans-serif" w:hAnsi="Times New Roman;sans-serif"/>
          <w:b w:val="false"/>
          <w:color w:val="000000"/>
          <w:sz w:val="23"/>
        </w:rPr>
        <w:t xml:space="preserve">(v)    If the Purported Transferee fails to surrender the Invalid Securities for redemption in accordance with Section 8.05(d)(3), then the Corporation may, in such manner and at such time, as determined by the Board of Directors, enforce the provisions hereof, which may include the institution of legal proceedings to compel the surrender. Nothing in this Section 8.05(d) shall (a) be deemed inconsistent with any Prohibited Transfer of the Invalid Securities provided in this Section 8.05 being void </w:t>
      </w:r>
      <w:r>
        <w:rPr>
          <w:rFonts w:ascii="Times New Roman;sans-serif" w:hAnsi="Times New Roman;sans-serif"/>
          <w:b w:val="false"/>
          <w:i/>
          <w:color w:val="000000"/>
          <w:sz w:val="23"/>
        </w:rPr>
        <w:t xml:space="preserve">ab initio </w:t>
      </w:r>
      <w:r>
        <w:rPr>
          <w:rFonts w:ascii="Times New Roman;sans-serif" w:hAnsi="Times New Roman;sans-serif"/>
          <w:b w:val="false"/>
          <w:color w:val="000000"/>
          <w:sz w:val="23"/>
        </w:rPr>
        <w:t>or (b) preclude the Corporation in its discretion from immediately bringing legal proceedings without a prior demand.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3"/>
        </w:rPr>
        <w:t>(e)    </w:t>
      </w:r>
      <w:r>
        <w:rPr>
          <w:rFonts w:ascii="Times New Roman;sans-serif" w:hAnsi="Times New Roman;sans-serif"/>
          <w:b/>
          <w:color w:val="000000"/>
          <w:sz w:val="23"/>
          <w:u w:val="single"/>
        </w:rPr>
        <w:t>Liability</w:t>
      </w:r>
      <w:r>
        <w:rPr>
          <w:rFonts w:ascii="Times New Roman;sans-serif" w:hAnsi="Times New Roman;sans-serif"/>
          <w:b w:val="false"/>
          <w:color w:val="000000"/>
          <w:sz w:val="23"/>
        </w:rPr>
        <w:t xml:space="preserve">. To the fullest extent permitted by law, any security holder subject to the provisions of this Section 8.05 who violates the provisions of this Section 8.05 and any Persons controlling, controlled by or under common control with such security holder shall be jointly and severally liable to the Corporation for, and shall indemnify and hold the Corporation harmless against, any and all damages suffered as a result of such violation, including, but not limited to, damages resulting from the Corporation’s inability to secure and maintain in good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77190"/>
                <wp:effectExtent l="0" t="0" r="0" b="0"/>
                <wp:wrapNone/>
                <wp:docPr id="76" name="Frame62"/>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standing any licenses, contracts, franchises and other regulatory approvals related to the Corporation’s business, and attorneys’ and auditors’ fees incurred in connection with such violation.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3"/>
        </w:rPr>
        <w:t>(f)    </w:t>
      </w:r>
      <w:r>
        <w:rPr>
          <w:rFonts w:ascii="Times New Roman;sans-serif" w:hAnsi="Times New Roman;sans-serif"/>
          <w:b/>
          <w:color w:val="000000"/>
          <w:sz w:val="23"/>
          <w:u w:val="single"/>
        </w:rPr>
        <w:t>Compliance</w:t>
      </w:r>
      <w:r>
        <w:rPr>
          <w:rFonts w:ascii="Times New Roman;sans-serif" w:hAnsi="Times New Roman;sans-serif"/>
          <w:b w:val="false"/>
          <w:color w:val="000000"/>
          <w:sz w:val="23"/>
        </w:rPr>
        <w:t>.</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    The Corporation shall have the power to make appropriate notations upon any certificates representing Securities or its stock and other Securities transfer records and to instruct any transfer agent, registrar, depositary, trustee or other securities intermediary with respect to the requirements of this Section 8.05 for any uncertificated Securities or Securities held in an indirect holding system.</w:t>
      </w:r>
    </w:p>
    <w:p>
      <w:pPr>
        <w:pStyle w:val="TextBody"/>
        <w:bidi w:val="0"/>
        <w:spacing w:lineRule="auto" w:line="288" w:before="0" w:after="240"/>
        <w:ind w:left="0" w:right="0" w:firstLine="2160"/>
        <w:jc w:val="both"/>
        <w:rPr>
          <w:rFonts w:ascii="Times New Roman;sans-serif" w:hAnsi="Times New Roman;sans-serif"/>
          <w:b w:val="false"/>
          <w:color w:val="000000"/>
          <w:sz w:val="23"/>
        </w:rPr>
      </w:pPr>
      <w:r>
        <w:rPr>
          <w:rFonts w:ascii="Times New Roman;sans-serif" w:hAnsi="Times New Roman;sans-serif"/>
          <w:b w:val="false"/>
          <w:color w:val="000000"/>
          <w:sz w:val="23"/>
        </w:rPr>
        <w:t>(ii)    The Board of Directors shall have the power to decide all matters necessary for determining compliance with this Section 8.05, including, without limitation, determining (A) whether a Transfer is a Prohibited Transfer, (B) whether an instrument constitutes a Security, (C) the interpretation of any provision of this Section 8.05, and (D) any other matter that the Board of Directors determines to be relevant. The good faith determination of the Board of Directors on such matters shall be conclusive and binding on all persons and entities for the purposes of this Section 8.05.</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8.06    </w:t>
      </w:r>
      <w:r>
        <w:rPr>
          <w:rFonts w:ascii="Times New Roman;sans-serif" w:hAnsi="Times New Roman;sans-serif"/>
          <w:b/>
          <w:color w:val="000000"/>
          <w:sz w:val="23"/>
          <w:u w:val="single"/>
        </w:rPr>
        <w:t>Suitability Analysis of Significant Stockholders</w:t>
      </w:r>
      <w:r>
        <w:rPr>
          <w:rFonts w:ascii="Times New Roman;sans-serif" w:hAnsi="Times New Roman;sans-serif"/>
          <w:b w:val="false"/>
          <w:color w:val="000000"/>
          <w:sz w:val="23"/>
          <w:u w:val="single"/>
        </w:rPr>
        <w:t>.</w:t>
      </w:r>
      <w:r>
        <w:rPr>
          <w:color w:val="000000"/>
        </w:rPr>
        <w:t xml:space="preserve"> </w:t>
      </w:r>
      <w:r>
        <w:rPr>
          <w:rFonts w:ascii="Times New Roman;sans-serif" w:hAnsi="Times New Roman;sans-serif"/>
          <w:b w:val="false"/>
          <w:color w:val="000000"/>
          <w:sz w:val="23"/>
        </w:rPr>
        <w:t>To enable the Corporation or any of its affiliates to secure, maintain in good standing and renew all licenses, contracts, franchises and other regulatory approvals related to the operation of gaming and related businesses now or hereafter engaged in by the Corporation or any of its affiliates within or without the United States of America, the Corporation will conduct a suitability analysis of each Significant Stockholder (as defined below) and intends to require all relevant information pertaining to suitability and/or qualification, as those terms are commonly understood in gaming laws applicable to the Corporation, from such Significant Stockholder in connection therewith. “Significant Stockholder” means any stockholder of the Corporation who, together with all affiliates or associates of such stockholder, beneficially owns (within the meaning of Rule 13d-3 under the Securities Exchange Act of 1934, as amended), directly or indirectly, five percent or more of any class of capital stock of the Corporation. For purposes solely of this Section 8.06, “affiliate” and “associate” shall have the respective meanings ascribed to such terms in Rule 12b- 2 under the Securities Exchange Act of 1934, as amended.</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8.07    </w:t>
      </w:r>
      <w:r>
        <w:rPr>
          <w:rFonts w:ascii="Times New Roman;sans-serif" w:hAnsi="Times New Roman;sans-serif"/>
          <w:b/>
          <w:color w:val="000000"/>
          <w:sz w:val="23"/>
          <w:u w:val="single"/>
        </w:rPr>
        <w:t>Severability</w:t>
      </w:r>
      <w:r>
        <w:rPr>
          <w:rFonts w:ascii="Times New Roman;sans-serif" w:hAnsi="Times New Roman;sans-serif"/>
          <w:b w:val="false"/>
          <w:i/>
          <w:color w:val="000000"/>
          <w:sz w:val="23"/>
        </w:rPr>
        <w:t xml:space="preserve">. </w:t>
      </w:r>
      <w:r>
        <w:rPr>
          <w:rFonts w:ascii="Times New Roman;sans-serif" w:hAnsi="Times New Roman;sans-serif"/>
          <w:b w:val="false"/>
          <w:color w:val="000000"/>
          <w:sz w:val="23"/>
        </w:rPr>
        <w:t>If any provision or provisions of Sections 8.05 or 8.06 of these Bylaws shall be held invalid, illegal or unenforceable as applied to any person or circumstances for any reason whatsoever, then, to the fullest extent permitted by law, the validity, legality and enforceability of such provisions in any other circumstance and of the remaining provisions of Sections 8.05 and 8.06 of these Bylaws (including, without limitation, each portion of any sentence of Sections 8.05 or 8.06 of these Bylaws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77190"/>
                <wp:effectExtent l="0" t="0" r="0" b="0"/>
                <wp:wrapNone/>
                <wp:docPr id="77" name="Frame63"/>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3"/>
        </w:rPr>
      </w:pPr>
      <w:r>
        <w:rPr>
          <w:rFonts w:ascii="Times New Roman;sans-serif" w:hAnsi="Times New Roman;sans-serif"/>
          <w:b/>
          <w:color w:val="000000"/>
          <w:sz w:val="23"/>
        </w:rPr>
        <w:t>ARTICLE IX</w: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Amendments</w:t>
      </w:r>
    </w:p>
    <w:p>
      <w:pPr>
        <w:pStyle w:val="TextBody"/>
        <w:bidi w:val="0"/>
        <w:spacing w:lineRule="auto" w:line="288" w:before="0" w:after="240"/>
        <w:ind w:left="0" w:right="0" w:firstLine="720"/>
        <w:jc w:val="both"/>
        <w:rPr>
          <w:rFonts w:ascii="Times New Roman;sans-serif" w:hAnsi="Times New Roman;sans-serif"/>
          <w:b w:val="false"/>
          <w:color w:val="000000"/>
          <w:sz w:val="23"/>
        </w:rPr>
      </w:pPr>
      <w:r>
        <w:rPr>
          <w:rFonts w:ascii="Times New Roman;sans-serif" w:hAnsi="Times New Roman;sans-serif"/>
          <w:b w:val="false"/>
          <w:color w:val="000000"/>
          <w:sz w:val="23"/>
        </w:rPr>
        <w:t>These Bylaws may be amended, altered or repealed by a vote of the majority of the total number of directors or of the stockholders at any meeting upon proper notice.</w:t>
      </w:r>
    </w:p>
    <w:p>
      <w:pPr>
        <w:pStyle w:val="TextBody"/>
        <w:bidi w:val="0"/>
        <w:spacing w:lineRule="auto" w:line="268" w:before="0" w:after="0"/>
        <w:jc w:val="center"/>
        <w:rPr>
          <w:rFonts w:ascii="Times New Roman;sans-serif" w:hAnsi="Times New Roman;sans-serif"/>
          <w:b/>
          <w:color w:val="000000"/>
          <w:sz w:val="23"/>
        </w:rPr>
      </w:pPr>
      <w:r>
        <w:rPr>
          <w:rFonts w:ascii="Times New Roman;sans-serif" w:hAnsi="Times New Roman;sans-serif"/>
          <w:b/>
          <w:color w:val="000000"/>
          <w:sz w:val="23"/>
        </w:rPr>
        <w:t>ARTICLE X</w:t>
      </w:r>
    </w:p>
    <w:p>
      <w:pPr>
        <w:pStyle w:val="TextBody"/>
        <w:bidi w:val="0"/>
        <w:spacing w:lineRule="auto" w:line="288" w:before="0" w:after="240"/>
        <w:jc w:val="center"/>
        <w:rPr>
          <w:rFonts w:ascii="Times New Roman;sans-serif" w:hAnsi="Times New Roman;sans-serif"/>
          <w:b/>
          <w:color w:val="000000"/>
          <w:sz w:val="23"/>
        </w:rPr>
      </w:pPr>
      <w:r>
        <w:rPr>
          <w:rFonts w:ascii="Times New Roman;sans-serif" w:hAnsi="Times New Roman;sans-serif"/>
          <w:b/>
          <w:color w:val="000000"/>
          <w:sz w:val="23"/>
        </w:rPr>
        <w:t>General</w:t>
      </w:r>
    </w:p>
    <w:p>
      <w:pPr>
        <w:pStyle w:val="TextBody"/>
        <w:bidi w:val="0"/>
        <w:spacing w:lineRule="auto" w:line="288" w:before="0" w:after="240"/>
        <w:ind w:left="0" w:right="0" w:firstLine="720"/>
        <w:jc w:val="both"/>
        <w:rPr/>
      </w:pPr>
      <w:r>
        <w:rPr>
          <w:rFonts w:ascii="Times New Roman;sans-serif" w:hAnsi="Times New Roman;sans-serif"/>
          <w:b w:val="false"/>
          <w:color w:val="000000"/>
          <w:sz w:val="23"/>
        </w:rPr>
        <w:t>Section 10.01    </w:t>
      </w:r>
      <w:r>
        <w:rPr>
          <w:rFonts w:ascii="Times New Roman;sans-serif" w:hAnsi="Times New Roman;sans-serif"/>
          <w:b/>
          <w:color w:val="000000"/>
          <w:sz w:val="23"/>
          <w:u w:val="single"/>
        </w:rPr>
        <w:t>Forum for Adjudication of Disputes</w:t>
      </w:r>
      <w:r>
        <w:rPr>
          <w:rFonts w:ascii="Times New Roman;sans-serif" w:hAnsi="Times New Roman;sans-serif"/>
          <w:b w:val="false"/>
          <w:color w:val="000000"/>
          <w:sz w:val="23"/>
        </w:rPr>
        <w:t xml:space="preserve">. To the fullest extent permitted by law, and unless the Corporation consents in writing to the selection of an alternative forum, the Eighth Judicial District Court of Clark County, Nevada, shall be the sole and exclusive forum for any action, suit or proceeding, whether civil, administrative or investigative, (a) against the Corporation or any of its directors or officers that (i) asserts a cause of action under the laws of the United States, (ii) could be properly commenced in either a federal forum or a forum of this State or any other state, and (iii) is brought by or in the name or on behalf of (A) the Corporation, (B) any stockholder of the Corporation, or (C) any subscriber for, or purchaser or offeree of, any shares or other securities of the Corporation; and (b) (i) brought in the name or right of the Corporation or on its behalf, (ii) asserting a claim or counterclaim for or based upon any breach of any fiduciary duty owed by any director, officer, employee or agent of the Corporation in such capacity to the Corporation or the Corporation’s stockholders, (iii) arising or asserting a claim or counterclaim arising pursuant to any provision of NRS Chapters 78 or 92A or any provision of the Articles of Incorporation or these Bylaws or (iv) asserting a claim or counterclaim governed by the internal affairs doctrine. In the event that the Eighth Judicial District Court of Clark County, Nevada does not have jurisdiction over any such action, suit or proceeding, then any other state district court located in the State of Nevada shall be the sole and exclusive forum therefor and in the event that no state district court in the State of Nevada has jurisdiction over any such action, suit or proceeding, then a federal court located within the State of Nevada shall be the sole and exclusive forum therefor. </w:t>
      </w:r>
    </w:p>
    <w:p>
      <w:pPr>
        <w:pStyle w:val="TextBody"/>
        <w:bidi w:val="0"/>
        <w:spacing w:lineRule="auto" w:line="288" w:before="240" w:after="283"/>
        <w:ind w:left="0" w:right="0" w:firstLine="720"/>
        <w:jc w:val="both"/>
        <w:rPr/>
      </w:pPr>
      <w:r>
        <w:rPr>
          <w:rFonts w:ascii="Times New Roman;sans-serif" w:hAnsi="Times New Roman;sans-serif"/>
          <w:b w:val="false"/>
          <w:color w:val="000000"/>
          <w:sz w:val="23"/>
        </w:rPr>
        <w:t>Section 10.02    </w:t>
      </w:r>
      <w:r>
        <w:rPr>
          <w:rFonts w:ascii="Times New Roman;sans-serif" w:hAnsi="Times New Roman;sans-serif"/>
          <w:b/>
          <w:color w:val="000000"/>
          <w:sz w:val="23"/>
          <w:u w:val="single"/>
        </w:rPr>
        <w:t>Deemed Notice and Consent</w:t>
      </w:r>
      <w:r>
        <w:rPr>
          <w:rFonts w:ascii="Times New Roman;sans-serif" w:hAnsi="Times New Roman;sans-serif"/>
          <w:b w:val="false"/>
          <w:color w:val="000000"/>
          <w:sz w:val="23"/>
        </w:rPr>
        <w:t>. To the fullest extent permitted by law, each and every natural person, corporation, general or limited partnership, limited liability company, joint venture, trust, association or any other entity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(a) these Bylaws (including Article XI), (b) the Articles of Incorporation and (c) any amendment to these Bylaws or the Articles of Incorporation enacted or adopted in accordance with these Bylaws, the Articles of Incorporation and applicable law.</w:t>
      </w:r>
    </w:p>
    <w:p>
      <w:pPr>
        <w:pStyle w:val="TextBody"/>
        <w:bidi w:val="0"/>
        <w:spacing w:lineRule="auto" w:line="288" w:before="240" w:after="240"/>
        <w:ind w:left="0" w:right="0" w:firstLine="720"/>
        <w:jc w:val="both"/>
        <w:rPr/>
      </w:pPr>
      <w:r>
        <w:rPr>
          <w:rFonts w:ascii="Times New Roman;sans-serif" w:hAnsi="Times New Roman;sans-serif"/>
          <w:b w:val="false"/>
          <w:color w:val="000000"/>
          <w:sz w:val="23"/>
        </w:rPr>
        <w:t>Section 10.03    </w:t>
      </w:r>
      <w:r>
        <w:rPr>
          <w:rFonts w:ascii="Times New Roman;sans-serif" w:hAnsi="Times New Roman;sans-serif"/>
          <w:b/>
          <w:color w:val="000000"/>
          <w:sz w:val="23"/>
          <w:u w:val="single"/>
        </w:rPr>
        <w:t>Application of These Bylaws</w:t>
      </w:r>
      <w:r>
        <w:rPr>
          <w:rFonts w:ascii="Times New Roman;sans-serif" w:hAnsi="Times New Roman;sans-serif"/>
          <w:b w:val="false"/>
          <w:color w:val="000000"/>
          <w:sz w:val="23"/>
        </w:rPr>
        <w:t>. In the event that any provisions of these Bylaws is or may be in conflict with any law of the United States, of the State of Nevada, or of any governmental body or power having jurisdiction over this Corporation, or over the subject matter to which such provision of these Bylaws applies, or may apply, such provision of these Bylaws shall be inoperative to the extent only that the operation thereof conflicts with such law, and shall in all other respects be in full force and effect.</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77190"/>
                <wp:effectExtent l="0" t="0" r="0" b="0"/>
                <wp:wrapNone/>
                <wp:docPr id="78" name="Frame64"/>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ans-serif" w:hAnsi="Times New Roman;sans-serif"/>
          <w:b w:val="false"/>
          <w:color w:val="000000"/>
          <w:sz w:val="23"/>
        </w:rPr>
        <w:t>Section 10.04    </w:t>
      </w:r>
      <w:r>
        <w:rPr>
          <w:rFonts w:ascii="Times New Roman;sans-serif" w:hAnsi="Times New Roman;sans-serif"/>
          <w:b/>
          <w:color w:val="000000"/>
          <w:sz w:val="23"/>
          <w:u w:val="single"/>
        </w:rPr>
        <w:t>Invalid Provisions</w:t>
      </w:r>
      <w:r>
        <w:rPr>
          <w:rFonts w:ascii="Times New Roman;sans-serif" w:hAnsi="Times New Roman;sans-serif"/>
          <w:b w:val="false"/>
          <w:color w:val="000000"/>
          <w:sz w:val="23"/>
        </w:rPr>
        <w:t>. If any part of these Bylaws is held invalid, unenforceable or inoperative for any reason whatsoever, then, to the fullest extent permitted by law, the remaining provisions of these Bylaws, so far as possible and reasonable, shall be valid, enforceable and operative.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77190"/>
                <wp:effectExtent l="0" t="0" r="0" b="0"/>
                <wp:wrapNone/>
                <wp:docPr id="79" name="Frame65"/>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ans-serif" w:hAnsi="Times New Roman;sans-serif"/>
          <w:b/>
          <w:color w:val="000000"/>
          <w:sz w:val="23"/>
        </w:rPr>
      </w:pPr>
      <w:r>
        <w:rPr>
          <w:rFonts w:ascii="Times New Roman;sans-serif" w:hAnsi="Times New Roman;sans-serif"/>
          <w:b/>
          <w:color w:val="000000"/>
          <w:sz w:val="23"/>
        </w:rPr>
        <w:t>Exhibit 3.3</w:t>
      </w:r>
    </w:p>
    <w:p>
      <w:pPr>
        <w:pStyle w:val="TextBody"/>
        <w:bidi w:val="0"/>
        <w:spacing w:before="0" w:after="283"/>
        <w:jc w:val="left"/>
        <w:rPr/>
      </w:pPr>
      <w:r>
        <w:rPr/>
        <w:drawing>
          <wp:inline distT="0" distB="0" distL="0" distR="0">
            <wp:extent cx="6572250" cy="8458200"/>
            <wp:effectExtent l="0" t="0" r="0" b="0"/>
            <wp:docPr id="8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5" descr=""/>
                    <pic:cNvPicPr>
                      <a:picLocks noChangeAspect="1" noChangeArrowheads="1"/>
                    </pic:cNvPicPr>
                  </pic:nvPicPr>
                  <pic:blipFill>
                    <a:blip r:embed="rId17"/>
                    <a:stretch>
                      <a:fillRect/>
                    </a:stretch>
                  </pic:blipFill>
                  <pic:spPr bwMode="auto">
                    <a:xfrm>
                      <a:off x="0" y="0"/>
                      <a:ext cx="6572250" cy="84582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345"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by Chief Executive Officer Pursuant to Section 302 of the Sarbanes-Oxley Act of 2002</w:t>
      </w:r>
    </w:p>
    <w:p>
      <w:pPr>
        <w:pStyle w:val="TextBody"/>
        <w:bidi w:val="0"/>
        <w:spacing w:lineRule="auto" w:line="288" w:before="0" w:after="3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 Matthew R. Wilson, certify that: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Light &amp; Wonder, Inc.;</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p>
      <w:pPr>
        <w:pStyle w:val="TextBody"/>
        <w:bidi w:val="0"/>
        <w:spacing w:lineRule="auto" w:line="345"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bl>
      <w:tblPr>
        <w:tblW w:w="2084" w:type="dxa"/>
        <w:jc w:val="left"/>
        <w:tblInd w:w="0" w:type="dxa"/>
        <w:tblLayout w:type="fixed"/>
        <w:tblCellMar>
          <w:top w:w="28" w:type="dxa"/>
          <w:left w:w="28" w:type="dxa"/>
          <w:bottom w:w="28" w:type="dxa"/>
          <w:right w:w="28" w:type="dxa"/>
        </w:tblCellMar>
      </w:tblPr>
      <w:tblGrid>
        <w:gridCol w:w="666"/>
        <w:gridCol w:w="585"/>
        <w:gridCol w:w="833"/>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Matthew R. Wilson</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Matthew R. Wilson</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ind w:left="0" w:right="0" w:firstLine="450"/>
        <w:jc w:val="center"/>
        <w:rPr/>
      </w:pPr>
      <w:r>
        <w:rPr/>
      </w:r>
    </w:p>
    <w:p>
      <w:pPr>
        <w:pStyle w:val="TextBody"/>
        <w:bidi w:val="0"/>
        <w:spacing w:lineRule="auto" w:line="345" w:before="0" w:after="16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Certification by Chief Financial Officer Pursuant to Section 302 of the Sarbanes-Oxley Act of 2002</w:t>
      </w:r>
    </w:p>
    <w:p>
      <w:pPr>
        <w:pStyle w:val="TextBody"/>
        <w:bidi w:val="0"/>
        <w:spacing w:lineRule="auto" w:line="345" w:before="0" w:after="3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 Constance P. James, certify that:</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Light &amp; Wonder, Inc.;</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p>
      <w:pPr>
        <w:pStyle w:val="TextBody"/>
        <w:bidi w:val="0"/>
        <w:spacing w:lineRule="auto" w:line="345"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bl>
      <w:tblPr>
        <w:tblW w:w="2024" w:type="dxa"/>
        <w:jc w:val="left"/>
        <w:tblInd w:w="0" w:type="dxa"/>
        <w:tblLayout w:type="fixed"/>
        <w:tblCellMar>
          <w:top w:w="28" w:type="dxa"/>
          <w:left w:w="28" w:type="dxa"/>
          <w:bottom w:w="28" w:type="dxa"/>
          <w:right w:w="28" w:type="dxa"/>
        </w:tblCellMar>
      </w:tblPr>
      <w:tblGrid>
        <w:gridCol w:w="645"/>
        <w:gridCol w:w="567"/>
        <w:gridCol w:w="812"/>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Constance P. James</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Constance P. James</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right"/>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345" w:before="0" w:after="160"/>
        <w:jc w:val="left"/>
        <w:rPr>
          <w:color w:val="000000"/>
        </w:rPr>
      </w:pPr>
      <w:r>
        <w:rPr>
          <w:color w:val="000000"/>
        </w:rPr>
        <w:t>    </w:t>
      </w:r>
      <w:r>
        <w:rPr>
          <w:rFonts w:ascii="Times New Roman;sans-serif" w:hAnsi="Times New Roman;sans-serif"/>
          <w:b w:val="false"/>
          <w:color w:val="000000"/>
          <w:sz w:val="20"/>
        </w:rPr>
        <w:t>In connection with the Quarterly Report of Light &amp; Wonder, Inc. (the “Company”) on Form 10-Q for the period ended June 30, 2023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pStyle w:val="TextBody"/>
        <w:bidi w:val="0"/>
        <w:spacing w:lineRule="auto" w:line="345" w:before="0" w:after="160"/>
        <w:ind w:left="0" w:right="0" w:hanging="720"/>
        <w:jc w:val="left"/>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345" w:before="0" w:after="160"/>
        <w:ind w:left="0" w:right="0" w:hanging="720"/>
        <w:jc w:val="left"/>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345" w:before="0" w:after="160"/>
        <w:jc w:val="left"/>
        <w:rPr>
          <w:color w:val="000000"/>
        </w:rPr>
      </w:pPr>
      <w:r>
        <w:rPr>
          <w:color w:val="000000"/>
        </w:rPr>
        <w:t>    </w:t>
      </w: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345" w:before="0" w:after="160"/>
        <w:jc w:val="left"/>
        <w:rPr>
          <w:color w:val="000000"/>
        </w:rPr>
      </w:pPr>
      <w:r>
        <w:rPr>
          <w:color w:val="000000"/>
        </w:rPr>
        <w:t>    </w:t>
      </w:r>
      <w:r>
        <w:rPr>
          <w:rFonts w:ascii="Times New Roman;sans-serif" w:hAnsi="Times New Roman;sans-serif"/>
          <w:b w:val="false"/>
          <w:color w:val="000000"/>
          <w:sz w:val="20"/>
        </w:rPr>
        <w:t>In connection with the Quarterly Report of Light &amp; Wonder, Inc. (the “Company”) on Form 10-Q for the period ended June 30, 2023 as filed with the Securities and Exchange Commission on the date hereof (the “Report”), I, Constance P. James, Chief Financial Officer of the Company, certify, pursuant to 18 U.S.C. § 1350, as adopted pursuant to Section 906 of the Sarbanes-Oxley Act of 2002, that, to my knowledge:</w:t>
      </w:r>
    </w:p>
    <w:p>
      <w:pPr>
        <w:pStyle w:val="TextBody"/>
        <w:bidi w:val="0"/>
        <w:spacing w:lineRule="auto" w:line="345" w:before="0" w:after="160"/>
        <w:ind w:left="0" w:right="0" w:hanging="720"/>
        <w:jc w:val="left"/>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345" w:before="0" w:after="160"/>
        <w:ind w:left="0" w:right="0" w:hanging="720"/>
        <w:jc w:val="left"/>
        <w:rPr/>
      </w:pPr>
      <w:r>
        <w:rPr>
          <w:rFonts w:ascii="Times New Roman;sans-serif" w:hAnsi="Times New Roman;sans-serif"/>
          <w:b w:val="false"/>
          <w:color w:val="000000"/>
          <w:sz w:val="20"/>
        </w:rPr>
        <w:t>(2)</w:t>
      </w:r>
      <w:r>
        <w:rPr>
          <w:color w:val="000000"/>
        </w:rPr>
        <w:t>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345" w:before="0" w:after="160"/>
        <w:jc w:val="left"/>
        <w:rPr>
          <w:color w:val="000000"/>
        </w:rPr>
      </w:pPr>
      <w:r>
        <w:rPr>
          <w:color w:val="000000"/>
        </w:rPr>
        <w:t>    </w:t>
      </w: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tbl>
      <w:tblPr>
        <w:tblW w:w="2352" w:type="dxa"/>
        <w:jc w:val="left"/>
        <w:tblInd w:w="0" w:type="dxa"/>
        <w:tblLayout w:type="fixed"/>
        <w:tblCellMar>
          <w:top w:w="28" w:type="dxa"/>
          <w:left w:w="28" w:type="dxa"/>
          <w:bottom w:w="28" w:type="dxa"/>
          <w:right w:w="28" w:type="dxa"/>
        </w:tblCellMar>
      </w:tblPr>
      <w:tblGrid>
        <w:gridCol w:w="124"/>
        <w:gridCol w:w="109"/>
        <w:gridCol w:w="109"/>
        <w:gridCol w:w="586"/>
        <w:gridCol w:w="586"/>
        <w:gridCol w:w="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Constance P. James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Constance P. James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hyperlink" Target="https://www.sec.gov/Archives/edgar/data/750004/000075000422000025/ex31arestatedarticlesofinc.htm" TargetMode="External"/><Relationship Id="rId17" Type="http://schemas.openxmlformats.org/officeDocument/2006/relationships/image" Target="media/image14.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33774</Words>
  <Characters>177784</Characters>
  <CharactersWithSpaces>209793</CharactersWithSpaces>
  <Paragraphs>3637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