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McLennan Hamish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LIGHT &amp; WONDER,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6601 BERMUDA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LAS VEGAS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89119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Light &amp; Wonder, Inc.</w:t>
              </w:r>
            </w:hyperlink>
            <w:r>
              <w:rPr/>
              <w:t xml:space="preserve"> [ </w:t>
            </w:r>
            <w:r>
              <w:rPr>
                <w:rFonts w:ascii="Times;serif" w:hAnsi="Times;serif"/>
                <w:color w:val="0000FF"/>
                <w:sz w:val="24"/>
                <w:shd w:fill="FFFFFF" w:val="clear"/>
              </w:rPr>
              <w:t>ASX:LNW</w:t>
            </w:r>
            <w:r>
              <w:rPr/>
              <w:t xml:space="preserve"> ] </w:t>
              <w:br/>
            </w:r>
            <w:r>
              <w:rPr>
                <w:rFonts w:ascii="arial;helvetica;sans-serif" w:hAnsi="arial;helvetica;sans-serif"/>
                <w:sz w:val="20"/>
              </w:rPr>
              <w:t>Foreign Trading Symbol</w:t>
            </w:r>
            <w:r>
              <w:rPr/>
              <w:br/>
              <w:t xml:space="preserve">[ </w:t>
            </w:r>
            <w:r>
              <w:rPr>
                <w:rFonts w:ascii="Times;serif" w:hAnsi="Times;serif"/>
                <w:color w:val="0000FF"/>
                <w:sz w:val="24"/>
                <w:shd w:fill="FFFFFF" w:val="clear"/>
              </w:rPr>
              <w:t>ASX:LNW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42"/>
        <w:gridCol w:w="941"/>
        <w:gridCol w:w="810"/>
        <w:gridCol w:w="624"/>
        <w:gridCol w:w="338"/>
        <w:gridCol w:w="849"/>
        <w:gridCol w:w="402"/>
        <w:gridCol w:w="805"/>
        <w:gridCol w:w="1093"/>
        <w:gridCol w:w="953"/>
        <w:gridCol w:w="164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4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4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1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0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6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4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4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1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0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4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3,700</w:t>
            </w:r>
            <w:r>
              <w:rPr>
                <w:rFonts w:ascii="Times;serif" w:hAnsi="Times;serif"/>
                <w:color w:val="008000"/>
                <w:position w:val="7"/>
                <w:sz w:val="16"/>
                <w:sz w:val="20"/>
                <w:shd w:fill="FFFFFF" w:val="clear"/>
              </w:rPr>
              <w:t>(1)</w:t>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89.26</w:t>
            </w:r>
            <w:r>
              <w:rPr>
                <w:rFonts w:ascii="Times;serif" w:hAnsi="Times;serif"/>
                <w:color w:val="008000"/>
                <w:position w:val="7"/>
                <w:sz w:val="16"/>
                <w:sz w:val="20"/>
                <w:shd w:fill="FFFFFF" w:val="clear"/>
              </w:rPr>
              <w:t>(2)</w:t>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25,137</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6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4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6,380</w:t>
            </w:r>
          </w:p>
        </w:tc>
        <w:tc>
          <w:tcPr>
            <w:tcW w:w="9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Superannuation Fund</w:t>
            </w:r>
            <w:r>
              <w:rPr>
                <w:rFonts w:ascii="Times;serif" w:hAnsi="Times;serif"/>
                <w:color w:val="008000"/>
                <w:position w:val="7"/>
                <w:sz w:val="16"/>
                <w:sz w:val="20"/>
                <w:shd w:fill="FFFFFF" w:val="clear"/>
              </w:rPr>
              <w:t>(3)</w:t>
            </w:r>
          </w:p>
        </w:tc>
      </w:tr>
      <w:tr>
        <w:trPr/>
        <w:tc>
          <w:tcPr>
            <w:tcW w:w="174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9,750</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6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Londolozi Family Trust</w:t>
            </w:r>
            <w:r>
              <w:rPr>
                <w:rFonts w:ascii="Times;serif" w:hAnsi="Times;serif"/>
                <w:color w:val="008000"/>
                <w:position w:val="7"/>
                <w:sz w:val="16"/>
                <w:sz w:val="20"/>
                <w:shd w:fill="FFFFFF" w:val="clear"/>
              </w:rPr>
              <w:t>(4)</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an open market sale of 3,700 of the Issuer's CHESS Depositary Interests ("CDIs") on September 10, 2026 (Australia)/September 9, 2026 (U.S.). CDIs are units of beneficial ownership in shares of common stock of the Company that are publicly traded on the Australian Securities Exchange (the "ASX") and held by CHESS Depositary Nominees Pty. Limited, a subsidiary of ASX Limited, the company that operates the ASX. Each CDI represents one fully paid share of common stock. The transaction was executed in multiple trades at prices ranging from $89.13 to $89.42. The price reported above reflects the weighted average purchase price. Details regarding aggregated purchase transactions will be provided upon request by the Commission staff, the issuer or a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Price converted from Australian Dollars into U.S. Dollars based on an exchange rate of $1 AUD to $0.7217 USD.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shares of common stock held by Linyanti Holdings Pty Limited ATF McLennan Superannuation Fund, a retirement fund of which Mr. McLennan is the beneficiary.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shares of common stock held by Londolozi Pty Limited ATF Londolozi Family Trust, of which Mr. McLennan serves as trustee.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Sweta Gabhawala, attorney-in-fact for Hamish McLennan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30349" TargetMode="External"/><Relationship Id="rId5" Type="http://schemas.openxmlformats.org/officeDocument/2006/relationships/hyperlink" Target="http://www.sec.gov/cgi-bin/browse-edgar?action=getcompany&amp;CIK=00007500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776</Words>
  <Characters>4201</Characters>
  <CharactersWithSpaces>4900</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