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700" w:firstLine="8"/>
        <w:spacing w:after="0" w:line="263" w:lineRule="auto"/>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60" w:type="dxa"/>
            <w:vAlign w:val="bottom"/>
          </w:tcPr>
          <w:p>
            <w:pPr>
              <w:spacing w:after="0"/>
              <w:rPr>
                <w:sz w:val="20"/>
                <w:szCs w:val="20"/>
                <w:color w:val="auto"/>
              </w:rPr>
            </w:pPr>
          </w:p>
        </w:tc>
        <w:tc>
          <w:tcPr>
            <w:tcW w:w="438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7"/>
        </w:trPr>
        <w:tc>
          <w:tcPr>
            <w:tcW w:w="688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6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2160" w:type="dxa"/>
            <w:vAlign w:val="bottom"/>
          </w:tcPr>
          <w:p>
            <w:pPr>
              <w:spacing w:after="0"/>
              <w:rPr>
                <w:sz w:val="24"/>
                <w:szCs w:val="24"/>
                <w:color w:val="auto"/>
              </w:rPr>
            </w:pPr>
          </w:p>
        </w:tc>
        <w:tc>
          <w:tcPr>
            <w:tcW w:w="4380" w:type="dxa"/>
            <w:vAlign w:val="bottom"/>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4"/>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60" w:type="dxa"/>
            <w:vAlign w:val="bottom"/>
          </w:tcPr>
          <w:p>
            <w:pPr>
              <w:spacing w:after="0"/>
              <w:rPr>
                <w:sz w:val="20"/>
                <w:szCs w:val="20"/>
                <w:color w:val="auto"/>
              </w:rPr>
            </w:pPr>
          </w:p>
        </w:tc>
        <w:tc>
          <w:tcPr>
            <w:tcW w:w="438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(Zip Code)</w:t>
            </w:r>
          </w:p>
        </w:tc>
      </w:tr>
      <w:tr>
        <w:trPr>
          <w:trHeight w:val="535"/>
        </w:trPr>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(702) 897-7150</w:t>
            </w:r>
          </w:p>
        </w:tc>
        <w:tc>
          <w:tcPr>
            <w:tcW w:w="438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59"/>
        </w:trPr>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24" w:lineRule="exact"/>
        <w:rPr>
          <w:sz w:val="24"/>
          <w:szCs w:val="24"/>
          <w:color w:val="auto"/>
        </w:rPr>
      </w:pPr>
    </w:p>
    <w:p>
      <w:pPr>
        <w:ind w:right="180" w:firstLine="486"/>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 w:firstLine="48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2" w:lineRule="exact"/>
        <w:rPr>
          <w:sz w:val="24"/>
          <w:szCs w:val="24"/>
          <w:color w:val="auto"/>
        </w:rPr>
      </w:pPr>
    </w:p>
    <w:p>
      <w:pPr>
        <w:ind w:right="12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320" w:type="dxa"/>
        <w:tblCellMar>
          <w:top w:w="0" w:type="dxa"/>
          <w:left w:w="0" w:type="dxa"/>
          <w:bottom w:w="0" w:type="dxa"/>
          <w:right w:w="0" w:type="dxa"/>
        </w:tblCellMar>
      </w:tblP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Large 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Non-accelerated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Emerging growth company</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196" w:lineRule="exact"/>
        <w:rPr>
          <w:sz w:val="24"/>
          <w:szCs w:val="24"/>
          <w:color w:val="auto"/>
        </w:rPr>
      </w:pPr>
    </w:p>
    <w:p>
      <w:pPr>
        <w:ind w:right="12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left="500" w:right="31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Common stock outstanding as of August 1, 2025 was 83,946,594.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gridSpan w:val="2"/>
            <w:vMerge w:val="restart"/>
          </w:tcPr>
          <w:p>
            <w:pPr>
              <w:spacing w:after="0"/>
              <w:rPr>
                <w:sz w:val="20"/>
                <w:szCs w:val="20"/>
                <w:color w:val="auto"/>
              </w:rPr>
            </w:pPr>
          </w:p>
        </w:tc>
        <w:tc>
          <w:tcPr>
            <w:tcW w:w="9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40" w:type="dxa"/>
            <w:vAlign w:val="bottom"/>
            <w:gridSpan w:val="1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0" w:type="dxa"/>
            <w:vAlign w:val="bottom"/>
            <w:gridSpan w:val="2"/>
          </w:tcPr>
          <w:p>
            <w:pPr>
              <w:spacing w:after="0"/>
              <w:rPr>
                <w:sz w:val="24"/>
                <w:szCs w:val="24"/>
                <w:color w:val="auto"/>
              </w:rPr>
            </w:pPr>
          </w:p>
        </w:tc>
        <w:tc>
          <w:tcPr>
            <w:tcW w:w="4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2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Six Months Ended June 30, 2025 and 2024</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Six Months Ended June 30, 2025 and 2024</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2025 and December 31, 2024</w:t>
            </w:r>
          </w:p>
        </w:tc>
        <w:tc>
          <w:tcPr>
            <w:tcW w:w="1120" w:type="dxa"/>
            <w:vAlign w:val="bottom"/>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w:t>
            </w:r>
          </w:p>
        </w:tc>
        <w:tc>
          <w:tcPr>
            <w:tcW w:w="19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8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3"/>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20" w:type="dxa"/>
            <w:vAlign w:val="bottom"/>
            <w:gridSpan w:val="9"/>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1"/>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46</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840" w:type="dxa"/>
            <w:vAlign w:val="bottom"/>
            <w:gridSpan w:val="9"/>
          </w:tcPr>
          <w:p>
            <w:pPr>
              <w:jc w:val="right"/>
              <w:ind w:right="8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terms or acronyms used in this Quarterly Report on Form 10-Q are defined below:</w:t>
      </w:r>
    </w:p>
    <w:p>
      <w:pPr>
        <w:spacing w:after="0" w:line="192" w:lineRule="exact"/>
        <w:rPr>
          <w:sz w:val="20"/>
          <w:szCs w:val="20"/>
          <w:color w:val="auto"/>
        </w:rPr>
      </w:pPr>
    </w:p>
    <w:p>
      <w:pPr>
        <w:ind w:left="40"/>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Term or Acronym</w:t>
      </w:r>
      <w:r>
        <w:rPr>
          <w:sz w:val="20"/>
          <w:szCs w:val="20"/>
          <w:color w:val="auto"/>
        </w:rPr>
        <w:tab/>
      </w:r>
      <w:r>
        <w:rPr>
          <w:rFonts w:ascii="Times New Roman" w:cs="Times New Roman" w:eastAsia="Times New Roman" w:hAnsi="Times New Roman"/>
          <w:sz w:val="17"/>
          <w:szCs w:val="17"/>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10-K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2028 Unsecured Notes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2029 Unsecured Notes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2031 Unsecured Notes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AEBITDA</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ASC</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ASX</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CMS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D&amp;A</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Exchange Act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FASB</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Grover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KPIs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L&amp;W</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LBO</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LNWI</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LNWI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LNWI Credit Agreement 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LNWI Revolver</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Annual Report on Form 10-K filed with SEC on February 25,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senior unsecured notes due 2028 issued by LNWI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7.250% senior unsecured notes due 2029 issued by LNWI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senior unsecured notes due 2031 issued by LNWI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our primary performance measure of profit or loss for our business segments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Codification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Australian Securities 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casino-management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Grover Gaming charitable business acquired on 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Performance Indicators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14605</wp:posOffset>
            </wp:positionV>
            <wp:extent cx="711517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betting office</w:t>
      </w:r>
    </w:p>
    <w:p>
      <w:pPr>
        <w:spacing w:after="0" w:line="23" w:lineRule="exact"/>
        <w:rPr>
          <w:sz w:val="20"/>
          <w:szCs w:val="20"/>
          <w:color w:val="auto"/>
        </w:rPr>
      </w:pPr>
    </w:p>
    <w:p>
      <w:pPr>
        <w:ind w:right="720"/>
        <w:spacing w:after="0" w:line="242" w:lineRule="auto"/>
        <w:rPr>
          <w:sz w:val="20"/>
          <w:szCs w:val="20"/>
          <w:color w:val="auto"/>
        </w:rPr>
      </w:pPr>
      <w:r>
        <w:rPr>
          <w:rFonts w:ascii="Times New Roman" w:cs="Times New Roman" w:eastAsia="Times New Roman" w:hAnsi="Times New Roman"/>
          <w:sz w:val="18"/>
          <w:szCs w:val="18"/>
          <w:color w:val="auto"/>
        </w:rPr>
        <w:t>Light and Wonder International, Inc., a wholly-owned subsidiary of L&amp;W and successor to Scientific Games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635</wp:posOffset>
            </wp:positionV>
            <wp:extent cx="7115175"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9258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That certain credit agreement, dated as of April 14, 2022, among LNWI, as the borrower, L&amp;W, as a guarantor, the</w:t>
      </w:r>
    </w:p>
    <w:p>
      <w:pPr>
        <w:spacing w:after="0" w:line="1"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Senior Funding, Inc., Royal Bank of Canada, Truist Securities, Inc., Credit Suisse Loan Funding LLC and Macquarie Capital (USA) Inc. as Lead Arrangers and Joint Bookrunners, as amended, restated, amended and restated, supplemented or otherwise modified from time to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certain credit agreement, dated as of May 15, 2025, among LNWI, as the borrower, L&amp;W, as a guarantor,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lenders from time to time party thereto, JPMorgan Chase Bank, N.A., as Administrative Agent and Collateral Agent, JPMorgan Chase Bank, N.A., BofA Securities, Inc., Wells Fargo Securities, LLC, PNC Capital Markets LLC, Truist Securities, Inc., Citizens Bank, N.A., Sumitomo Mitsui Banking Corporation, BNP Paribas Securities Corp., KeyBanc</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Capital Markets Inc., U.S. Bank National Association, Fifth Third Bank, National Association, Goldman Sachs Bank USA and Morgan Stanley Senior Funding, Inc. as Joint Lead Arrangers and Joint Bookrunners and Deutsche Bank Securities Inc., as Co-Documentation Agent, as amended, restated, amended and restated, supplemented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4445</wp:posOffset>
            </wp:positionV>
            <wp:extent cx="7115175"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ind w:right="760"/>
        <w:spacing w:after="0" w:line="242" w:lineRule="auto"/>
        <w:rPr>
          <w:sz w:val="20"/>
          <w:szCs w:val="20"/>
          <w:color w:val="auto"/>
        </w:rPr>
      </w:pPr>
      <w:r>
        <w:rPr>
          <w:rFonts w:ascii="Times New Roman" w:cs="Times New Roman" w:eastAsia="Times New Roman" w:hAnsi="Times New Roman"/>
          <w:sz w:val="18"/>
          <w:szCs w:val="18"/>
          <w:color w:val="auto"/>
        </w:rPr>
        <w:t>Revolving credit facility with aggregate commitments of $1.0 billion extended pursuant to the LNWI Credit Agreement</w:t>
      </w:r>
    </w:p>
    <w:p>
      <w:pPr>
        <w:spacing w:after="0" w:line="1" w:lineRule="exact"/>
        <w:rPr>
          <w:sz w:val="20"/>
          <w:szCs w:val="20"/>
          <w:color w:val="auto"/>
        </w:rPr>
      </w:pPr>
    </w:p>
    <w:p>
      <w:pPr>
        <w:sectPr>
          <w:pgSz w:w="11900" w:h="16838" w:orient="portrait"/>
          <w:cols w:equalWidth="0" w:num="2">
            <w:col w:w="2020" w:space="660"/>
            <w:col w:w="8540"/>
          </w:cols>
          <w:pgMar w:left="320" w:top="887" w:right="3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LNWI Term Loan A</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LNWI Term Loan B</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Participation</w:t>
      </w:r>
    </w:p>
    <w:p>
      <w:pPr>
        <w:spacing w:after="0" w:line="20" w:lineRule="exact"/>
        <w:rPr>
          <w:sz w:val="20"/>
          <w:szCs w:val="20"/>
          <w:color w:val="auto"/>
        </w:rPr>
      </w:pPr>
      <w:r>
        <w:rPr>
          <w:sz w:val="20"/>
          <w:szCs w:val="20"/>
          <w:color w:val="auto"/>
        </w:rPr>
        <w:br w:type="column"/>
      </w:r>
    </w:p>
    <w:p>
      <w:pPr>
        <w:ind w:right="3620"/>
        <w:spacing w:after="0" w:line="281" w:lineRule="auto"/>
        <w:rPr>
          <w:sz w:val="20"/>
          <w:szCs w:val="20"/>
          <w:color w:val="auto"/>
        </w:rPr>
      </w:pPr>
      <w:r>
        <w:rPr>
          <w:rFonts w:ascii="Times New Roman" w:cs="Times New Roman" w:eastAsia="Times New Roman" w:hAnsi="Times New Roman"/>
          <w:sz w:val="17"/>
          <w:szCs w:val="17"/>
          <w:color w:val="auto"/>
        </w:rPr>
        <w:t>Term loan A facility provided for by the LNWI Credit Agreement A Term loan B facility provided for by the LNWI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-144145</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right="360"/>
        <w:spacing w:after="0" w:line="242" w:lineRule="auto"/>
        <w:rPr>
          <w:sz w:val="20"/>
          <w:szCs w:val="20"/>
          <w:color w:val="auto"/>
        </w:rPr>
      </w:pPr>
      <w:r>
        <w:rPr>
          <w:rFonts w:ascii="Times New Roman" w:cs="Times New Roman" w:eastAsia="Times New Roman" w:hAnsi="Times New Roman"/>
          <w:sz w:val="18"/>
          <w:szCs w:val="18"/>
          <w:color w:val="auto"/>
        </w:rPr>
        <w:t>a note in the Notes to Consolidated Financial Statements in this Quarterly Report on Form 10-Q,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635</wp:posOffset>
            </wp:positionV>
            <wp:extent cx="711517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refers to gaming machines provided to customers through service or leasing arrangements in which we earn revenues</w:t>
      </w:r>
    </w:p>
    <w:p>
      <w:pPr>
        <w:spacing w:after="0" w:line="9"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and are paid based on: (1) a percentage of the amount wagered less payouts; (2) fixed daily-fees; (3) a percentage of the amount wagered; or (4) a combination of (2) and (3)</w:t>
      </w:r>
    </w:p>
    <w:p>
      <w:pPr>
        <w:spacing w:after="0" w:line="1" w:lineRule="exact"/>
        <w:rPr>
          <w:sz w:val="20"/>
          <w:szCs w:val="20"/>
          <w:color w:val="auto"/>
        </w:rPr>
      </w:pPr>
    </w:p>
    <w:p>
      <w:pPr>
        <w:sectPr>
          <w:pgSz w:w="11900" w:h="16838" w:orient="portrait"/>
          <w:cols w:equalWidth="0" w:num="2">
            <w:col w:w="1960" w:space="720"/>
            <w:col w:w="8540"/>
          </w:cols>
          <w:pgMar w:left="320" w:top="887" w:right="3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SciPlay business segment</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or Unsecured Notes</w:t>
            </w: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refers to the 2028 Unsecured Notes, 2029 Unsecured Notes and 2031 Unsecured Notes, collectively</w:t>
            </w: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8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3" w:name="page4"/>
    <w:bookmarkEnd w:id="3"/>
    <w:tbl>
      <w:tblPr>
        <w:tblLayout w:type="fixed"/>
        <w:tblInd w:w="20" w:type="dxa"/>
        <w:tblCellMar>
          <w:top w:w="0" w:type="dxa"/>
          <w:left w:w="0" w:type="dxa"/>
          <w:bottom w:w="0" w:type="dxa"/>
          <w:right w:w="0" w:type="dxa"/>
        </w:tblCellMar>
      </w:tblPr>
      <w:tr>
        <w:trPr>
          <w:trHeight w:val="238"/>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Shufflers</w:t>
            </w:r>
          </w:p>
        </w:tc>
        <w:tc>
          <w:tcPr>
            <w:tcW w:w="100" w:type="dxa"/>
            <w:vAlign w:val="bottom"/>
            <w:tcBorders>
              <w:top w:val="single" w:sz="8" w:color="CCEEFF"/>
            </w:tcBorders>
            <w:shd w:val="clear" w:color="auto" w:fill="CCEEFF"/>
          </w:tcPr>
          <w:p>
            <w:pPr>
              <w:spacing w:after="0"/>
              <w:rPr>
                <w:sz w:val="19"/>
                <w:szCs w:val="19"/>
                <w:color w:val="auto"/>
              </w:rPr>
            </w:pPr>
          </w:p>
        </w:tc>
        <w:tc>
          <w:tcPr>
            <w:tcW w:w="8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29"/>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jurisdictions</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VGT</w:t>
            </w:r>
          </w:p>
        </w:tc>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gaming terminal</w:t>
            </w:r>
          </w:p>
        </w:tc>
      </w:tr>
      <w:tr>
        <w:trPr>
          <w:trHeight w:val="23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VLT</w:t>
            </w:r>
          </w:p>
        </w:tc>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lottery terminal</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2025 Light &amp; Wonder, Inc. All Rights Reserved.</w:t>
      </w:r>
    </w:p>
    <w:p>
      <w:pPr>
        <w:spacing w:after="0" w:line="15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2025 Hasbro. All Rights Reserved. Licensed by Hasbro.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Frankenstein is a trademark and copyright of Universal Studios. Licensed by Universal. All Rights Reserved.</w:t>
      </w:r>
    </w:p>
    <w:p>
      <w:pPr>
        <w:spacing w:after="0" w:line="15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UNIVERSAL MONSTERS™ The Universal Studios Monsters are trademarks and copyrights of Universal Studios. Licensed by Universal. All Rights Reserved.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 SKULL ISLAND and all related characters and elements © Warner Bros. Entertainment Inc.</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63" w:lineRule="exact"/>
        <w:rPr>
          <w:rFonts w:ascii="Times New Roman" w:cs="Times New Roman" w:eastAsia="Times New Roman" w:hAnsi="Times New Roman"/>
          <w:sz w:val="18"/>
          <w:szCs w:val="18"/>
          <w:color w:val="auto"/>
        </w:rPr>
      </w:pPr>
    </w:p>
    <w:p>
      <w:pPr>
        <w:ind w:left="500" w:right="72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1" w:lineRule="exact"/>
        <w:rPr>
          <w:rFonts w:ascii="Times New Roman" w:cs="Times New Roman" w:eastAsia="Times New Roman" w:hAnsi="Times New Roman"/>
          <w:sz w:val="18"/>
          <w:szCs w:val="18"/>
          <w:color w:val="auto"/>
        </w:rPr>
      </w:pPr>
    </w:p>
    <w:p>
      <w:pPr>
        <w:ind w:left="500" w:right="4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 w:lineRule="exact"/>
        <w:rPr>
          <w:rFonts w:ascii="Times New Roman" w:cs="Times New Roman" w:eastAsia="Times New Roman" w:hAnsi="Times New Roman"/>
          <w:sz w:val="18"/>
          <w:szCs w:val="18"/>
          <w:color w:val="auto"/>
        </w:rPr>
      </w:pPr>
    </w:p>
    <w:p>
      <w:pPr>
        <w:ind w:left="500" w:right="16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new or increased tariffs imposed by and other trade actions taken by the U.S. and foreign jurisdictions could have on our business;</w:t>
      </w:r>
    </w:p>
    <w:p>
      <w:pPr>
        <w:spacing w:after="0" w:line="1" w:lineRule="exact"/>
        <w:rPr>
          <w:rFonts w:ascii="Times New Roman" w:cs="Times New Roman" w:eastAsia="Times New Roman" w:hAnsi="Times New Roman"/>
          <w:sz w:val="18"/>
          <w:szCs w:val="18"/>
          <w:color w:val="auto"/>
        </w:rPr>
      </w:pPr>
    </w:p>
    <w:p>
      <w:pPr>
        <w:ind w:left="500" w:right="7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changes in consumer sentiment and discretionary spending, increases in benchmark interest rates and the effects of inflation;</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issues;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progress under, or the elimination of, our share repurchase program;</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pricing variations and other impacts of our common stock being listed to trade on more than one stock exchange;</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further reduce or refinance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63" w:lineRule="exact"/>
        <w:rPr>
          <w:rFonts w:ascii="Times New Roman" w:cs="Times New Roman" w:eastAsia="Times New Roman" w:hAnsi="Times New Roman"/>
          <w:sz w:val="18"/>
          <w:szCs w:val="18"/>
          <w:color w:val="auto"/>
        </w:rPr>
      </w:pPr>
    </w:p>
    <w:p>
      <w:pPr>
        <w:ind w:left="500" w:right="4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ongoing changes in U.K. gaming legislation, including any new or revised licensing and taxation regimes, responsible gambling requirements and/or sanctions on unlicensed providers;</w:t>
      </w:r>
    </w:p>
    <w:p>
      <w:pPr>
        <w:spacing w:after="0" w:line="1" w:lineRule="exact"/>
        <w:rPr>
          <w:rFonts w:ascii="Times New Roman" w:cs="Times New Roman" w:eastAsia="Times New Roman" w:hAnsi="Times New Roman"/>
          <w:sz w:val="18"/>
          <w:szCs w:val="18"/>
          <w:color w:val="auto"/>
        </w:rPr>
      </w:pPr>
    </w:p>
    <w:p>
      <w:pPr>
        <w:ind w:left="500" w:right="1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management and employees;</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any potential disruptions from the Grover acquisition will harm relationships with customers, employees and suppliers;</w:t>
      </w:r>
    </w:p>
    <w:p>
      <w:pPr>
        <w:spacing w:after="0" w:line="103" w:lineRule="exact"/>
        <w:rPr>
          <w:rFonts w:ascii="Times New Roman" w:cs="Times New Roman" w:eastAsia="Times New Roman" w:hAnsi="Times New Roman"/>
          <w:sz w:val="18"/>
          <w:szCs w:val="18"/>
          <w:color w:val="auto"/>
        </w:rPr>
      </w:pPr>
    </w:p>
    <w:p>
      <w:pPr>
        <w:ind w:left="500" w:right="2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expected financial, operational and strategic benefits of the Grover acquisition and may not be able to successfully integrate Grover into the Company’s operations;</w:t>
      </w:r>
    </w:p>
    <w:p>
      <w:pPr>
        <w:spacing w:after="0" w:line="40"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being publicly traded in the United States and Australia, including price variations and other impacts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500"/>
        <w:spacing w:after="0"/>
        <w:rPr>
          <w:sz w:val="20"/>
          <w:szCs w:val="20"/>
          <w:color w:val="auto"/>
        </w:rPr>
      </w:pPr>
      <w:r>
        <w:rPr>
          <w:rFonts w:ascii="Times New Roman" w:cs="Times New Roman" w:eastAsia="Times New Roman" w:hAnsi="Times New Roman"/>
          <w:sz w:val="18"/>
          <w:szCs w:val="18"/>
          <w:color w:val="auto"/>
        </w:rPr>
        <w:t>relating to the current dual listing of the Company’s common stock on the ASX and Nasdaq;</w:t>
      </w:r>
    </w:p>
    <w:p>
      <w:pPr>
        <w:spacing w:after="0" w:line="63" w:lineRule="exact"/>
        <w:rPr>
          <w:sz w:val="20"/>
          <w:szCs w:val="20"/>
          <w:color w:val="auto"/>
        </w:rPr>
      </w:pPr>
    </w:p>
    <w:p>
      <w:pPr>
        <w:jc w:val="both"/>
        <w:ind w:left="500" w:right="26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transitioning, or failing to transition, to a sole primary listing on the ASX, including delisting the Company’s common stock from Nasdaq, which could negatively affect the liquidity and trading prices of our common stock, impact our access to the capital markets and result in less or differing disclosure about the Company, as well as additional regulation which the Company is not currently familiar with;</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achieve expected operational, strategic and financial benefits of the SciPlay merger;</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63" w:lineRule="exact"/>
        <w:rPr>
          <w:rFonts w:ascii="Times New Roman" w:cs="Times New Roman" w:eastAsia="Times New Roman" w:hAnsi="Times New Roman"/>
          <w:sz w:val="18"/>
          <w:szCs w:val="18"/>
          <w:color w:val="auto"/>
        </w:rPr>
      </w:pPr>
    </w:p>
    <w:p>
      <w:pPr>
        <w:ind w:left="500" w:right="16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(including further developments in the Dragon Train litigation described under “Aristocrat Matters” in Note 15), our employees (including labor disputes), intellectual property, environmental laws and our strategic relationships;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63" w:lineRule="exact"/>
        <w:rPr>
          <w:rFonts w:ascii="Times New Roman" w:cs="Times New Roman" w:eastAsia="Times New Roman" w:hAnsi="Times New Roman"/>
          <w:sz w:val="18"/>
          <w:szCs w:val="18"/>
          <w:color w:val="auto"/>
        </w:rPr>
      </w:pPr>
    </w:p>
    <w:p>
      <w:pPr>
        <w:ind w:left="500" w:right="32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government regulations and potential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3" w:lineRule="exact"/>
        <w:rPr>
          <w:rFonts w:ascii="Times New Roman" w:cs="Times New Roman" w:eastAsia="Times New Roman" w:hAnsi="Times New Roman"/>
          <w:sz w:val="18"/>
          <w:szCs w:val="18"/>
          <w:color w:val="auto"/>
        </w:rPr>
      </w:pPr>
    </w:p>
    <w:p>
      <w:pPr>
        <w:ind w:left="500" w:right="36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including Internet wagering, social gaming and sweep-stakes;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63"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w:t>
      </w:r>
    </w:p>
    <w:p>
      <w:pPr>
        <w:spacing w:after="0" w:line="63" w:lineRule="exact"/>
        <w:rPr>
          <w:rFonts w:ascii="Times New Roman" w:cs="Times New Roman" w:eastAsia="Times New Roman" w:hAnsi="Times New Roman"/>
          <w:sz w:val="18"/>
          <w:szCs w:val="18"/>
          <w:color w:val="auto"/>
        </w:rPr>
      </w:pPr>
    </w:p>
    <w:p>
      <w:pPr>
        <w:ind w:left="500" w:right="16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 w:lineRule="exact"/>
        <w:rPr>
          <w:rFonts w:ascii="Times New Roman" w:cs="Times New Roman" w:eastAsia="Times New Roman" w:hAnsi="Times New Roman"/>
          <w:sz w:val="18"/>
          <w:szCs w:val="18"/>
          <w:color w:val="auto"/>
        </w:rPr>
      </w:pPr>
    </w:p>
    <w:p>
      <w:pPr>
        <w:ind w:left="500" w:right="12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of this Quarterly Report on Form 10-Q and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2024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44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7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7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572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tcPr>
          <w:p>
            <w:pPr>
              <w:jc w:val="right"/>
              <w:ind w:right="6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56"/>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5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5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 shares</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7"/>
        </w:trPr>
        <w:tc>
          <w:tcPr>
            <w:tcW w:w="5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 shares</w:t>
            </w: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88"/>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Excludes D&amp;A.</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5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7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(loss) gain, net of tax</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
        </w:trPr>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8"/>
                <w:szCs w:val="18"/>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7040" w:type="dxa"/>
            <w:vAlign w:val="bottom"/>
            <w:tcBorders>
              <w:top w:val="single" w:sz="8" w:color="CCEEFF"/>
            </w:tcBorders>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$27 and $35, respectively</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$7 and $5, respectively.</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0"/>
        </w:trPr>
        <w:tc>
          <w:tcPr>
            <w:tcW w:w="758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r>
      <w:tr>
        <w:trPr>
          <w:trHeight w:val="230"/>
        </w:trPr>
        <w:tc>
          <w:tcPr>
            <w:tcW w:w="758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3"/>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6"/>
        </w:trPr>
        <w:tc>
          <w:tcPr>
            <w:tcW w:w="70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118 and 117 shares issued,</w:t>
            </w:r>
          </w:p>
        </w:tc>
        <w:tc>
          <w:tcPr>
            <w:tcW w:w="5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respectively, and 84 and 86 shares outstanding, respectively</w:t>
            </w:r>
          </w:p>
        </w:tc>
        <w:tc>
          <w:tcPr>
            <w:tcW w:w="5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0"/>
        </w:trPr>
        <w:tc>
          <w:tcPr>
            <w:tcW w:w="7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at cost, 34 and 31 shares, respectively</w:t>
            </w:r>
          </w:p>
        </w:tc>
        <w:tc>
          <w:tcPr>
            <w:tcW w:w="5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3"/>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8"/>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Acquisitions of businesses and assets, net of cash acquired</w:t>
            </w:r>
          </w:p>
        </w:tc>
        <w:tc>
          <w:tcPr>
            <w:tcW w:w="1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senior notes and term loans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contingent acquisition considerations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1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196"/>
        </w:trPr>
        <w:tc>
          <w:tcPr>
            <w:tcW w:w="7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300" w:type="dxa"/>
            <w:vAlign w:val="bottom"/>
            <w:tcBorders>
              <w:bottom w:val="single" w:sz="8" w:color="auto"/>
            </w:tcBorders>
          </w:tcPr>
          <w:p>
            <w:pPr>
              <w:jc w:val="right"/>
              <w:ind w:right="11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ind w:right="11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7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contingent acquisition considerations included in operating activities</w:t>
            </w:r>
          </w:p>
        </w:tc>
        <w:tc>
          <w:tcPr>
            <w:tcW w:w="13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transactions:</w:t>
            </w:r>
          </w:p>
        </w:tc>
        <w:tc>
          <w:tcPr>
            <w:tcW w:w="1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4"/>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380" w:type="dxa"/>
            <w:vAlign w:val="bottom"/>
          </w:tcPr>
          <w:p>
            <w:pPr>
              <w:jc w:val="right"/>
              <w:ind w:right="119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6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11" w:name="page12"/>
    <w:bookmarkEnd w:id="11"/>
    <w:p>
      <w:pPr>
        <w:jc w:val="center"/>
        <w:ind w:left="360" w:right="2400"/>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(Unaudited, amounts in USD, table amounts in millions, except per share amounts)</w:t>
      </w:r>
    </w:p>
    <w:p>
      <w:pPr>
        <w:spacing w:after="0" w:line="319" w:lineRule="exact"/>
        <w:rPr>
          <w:sz w:val="20"/>
          <w:szCs w:val="20"/>
          <w:color w:val="auto"/>
        </w:rPr>
      </w:pPr>
    </w:p>
    <w:p>
      <w:pPr>
        <w:ind w:right="5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9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2024 10-K. Interim results of operations are not necessarily indicative of results of operations to be expected for a full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2024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Grover</w:t>
      </w:r>
    </w:p>
    <w:p>
      <w:pPr>
        <w:spacing w:after="0" w:line="16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16, 2025, we completed the acquisition of Grover Charitable Gaming (“Grover”) for an upfront consideration of $850 million, subject to certain customary purchase price adjustments as set forth in the purchase agreement, and up to $200 million in cash in the aggregate in the form of contingent acquisition consideration payments over a four-year period based on achievement of certain revenue metrics. Grover is a leading provider of electronic pull-tabs currently distributed over five U.S. states: North Dakota, Ohio, Virginia, Kentucky and New Hampshire.</w:t>
      </w:r>
    </w:p>
    <w:p>
      <w:pPr>
        <w:spacing w:after="0" w:line="112"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We accounted for this acquisition using the acquisition method of accounting whereby the total purchase price was allocated to tangible and intangible assets acquired and liabilities assumed based on respective estimated fair values. The estimated fair values of the acquired assets, assumed liabilities and resulting goodwill are subject to adjustment as we finalize our purchase price accounting, and such adjustments could be material.</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incurred $14 million in acquisition-related costs, which were recorded in restructuring and other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which is expected to be finalized by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May 16, 2025</w:t>
            </w:r>
          </w:p>
        </w:tc>
      </w:tr>
      <w:tr>
        <w:trPr>
          <w:trHeight w:val="22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0"/>
        </w:trPr>
        <w:tc>
          <w:tcPr>
            <w:tcW w:w="9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9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Consideration transferred:</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9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net of purchase price adjustments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96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Fair value of contingent consideration</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fair value was determined using an income approach primarily based on reaching certain revenue-based metrics, with a discount rate of 6% and a maximum payout of up to $200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-86995</wp:posOffset>
            </wp:positionV>
            <wp:extent cx="1045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and other current and non-current assets and liabilities were valued at the existing carrying values, which approximated their estimated fair values. The fair value of property and equipment, which primarily consisted of electronic pull tab gaming devices, was determined using replacement cost and cost-plus pricing.</w:t>
      </w:r>
    </w:p>
    <w:p>
      <w:pPr>
        <w:spacing w:after="0" w:line="1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values of intangible assets that have been preliminarily identified were determined using a combination of the excess earnings method and the relief from royalty method using Level 3 inputs in the fair value hierarchy established by ASC 820. The discount rates used in the valuation analysis ranged between 14% and 15%, and the royalty rates used were between 2% and 18%. The following table details the intangible assets that have been preliminarily identified: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Weighted Average Useful Life (Years)</w:t>
            </w:r>
          </w:p>
        </w:tc>
      </w:tr>
      <w:tr>
        <w:trPr>
          <w:trHeight w:val="22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29"/>
        </w:trPr>
        <w:tc>
          <w:tcPr>
            <w:tcW w:w="5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Intellectual property</w:t>
            </w:r>
            <w:r>
              <w:rPr>
                <w:rFonts w:ascii="Times New Roman" w:cs="Times New Roman" w:eastAsia="Times New Roman" w:hAnsi="Times New Roman"/>
                <w:sz w:val="23"/>
                <w:szCs w:val="23"/>
                <w:color w:val="auto"/>
                <w:vertAlign w:val="superscript"/>
              </w:rPr>
              <w:t>(1)</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bl>
    <w:p>
      <w:pPr>
        <w:ind w:left="20"/>
        <w:spacing w:after="0"/>
        <w:rPr>
          <w:sz w:val="20"/>
          <w:szCs w:val="20"/>
          <w:color w:val="auto"/>
        </w:rPr>
      </w:pPr>
      <w:r>
        <w:rPr>
          <w:rFonts w:ascii="Times New Roman" w:cs="Times New Roman" w:eastAsia="Times New Roman" w:hAnsi="Times New Roman"/>
          <w:sz w:val="14"/>
          <w:szCs w:val="14"/>
          <w:color w:val="auto"/>
        </w:rPr>
        <w:t>(1) Primarily consists of game content and platform technology.</w:t>
      </w:r>
    </w:p>
    <w:p>
      <w:pPr>
        <w:spacing w:after="0" w:line="26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factors contributing to the recognition of acquired goodwill are based on enhanced financial and operational scale, market diversification and expansion, expected synergies, assembled workforce and other strategic benefits. We expect the resultant goodwill to be deductible for income tax purposes.</w:t>
      </w:r>
    </w:p>
    <w:p>
      <w:pPr>
        <w:spacing w:after="0" w:line="95"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Grover revenue and net income since the acquisition date and through June 30, 2025 included in the consolidated statements of operations and comprehensive income were not material. The Grover operating segment was aggregated with our Gaming reportable business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Per Share</w:t>
      </w:r>
    </w:p>
    <w:p>
      <w:pPr>
        <w:spacing w:after="0" w:line="16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per share are based upon net income divided by the weighted average number of common shares outstanding during the period. Diluted net income per share reflects the effect of the assumed exercise of stock options and RSUs only in the periods in which such effect would have been dilutive to net income.</w:t>
      </w:r>
    </w:p>
    <w:p>
      <w:pPr>
        <w:spacing w:after="0" w:line="95"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we included 2 million and 1 million, respectively, of common stock equivalents in the calculation of diluted net income per share. For the three and six months ended June 30, 2024, we included 2 million of common stock equivalents in the calculation of diluted net income per share for both periods.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w:t>
      </w:r>
    </w:p>
    <w:p>
      <w:pPr>
        <w:spacing w:after="0" w:line="16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since those described within Note 1 of our 2024 10-K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reportable business segments: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4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44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Third-party platforms and other</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14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ind w:left="20"/>
        <w:spacing w:after="0"/>
        <w:rPr>
          <w:sz w:val="20"/>
          <w:szCs w:val="20"/>
          <w:color w:val="auto"/>
        </w:rPr>
      </w:pPr>
      <w:r>
        <w:rPr>
          <w:rFonts w:ascii="Times New Roman" w:cs="Times New Roman" w:eastAsia="Times New Roman" w:hAnsi="Times New Roman"/>
          <w:sz w:val="14"/>
          <w:szCs w:val="14"/>
          <w:color w:val="auto"/>
        </w:rPr>
        <w:t>(1) Other primarily represents advertising revenue, which was not material for the periods presented.</w:t>
      </w:r>
    </w:p>
    <w:p>
      <w:pPr>
        <w:spacing w:after="0" w:line="26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Grover revenues are generated by providing customers with access to proprietary electronic pull tabs equipment and content for which consideration is based upon a percentage of gross gaming revenue, with variability generally resolved in the reporting period. For these contracts with customers, we generally transfer control and recognize revenue over time based on the amount we expect to receive and classify such revenue as gaming operations revenue. Payments from customers under these contracts are typically due on a monthly or more frequent basis.</w:t>
      </w:r>
    </w:p>
    <w:p>
      <w:pPr>
        <w:spacing w:after="0" w:line="9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amount of rental income revenue included in services revenue within the consolidated statement of operations that is outside the scope of ASC 606 was $151 million and $289 million for the three and six months ended June 30, 2025, respectively, and $136 million and $263 million for the three and six months ended June 30,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r>
      <w:tr>
        <w:trPr>
          <w:trHeight w:val="226"/>
        </w:trPr>
        <w:tc>
          <w:tcPr>
            <w:tcW w:w="78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shd w:val="clear" w:color="auto" w:fill="CCEEFF"/>
          </w:tcPr>
          <w:p>
            <w:pPr>
              <w:jc w:val="center"/>
              <w:ind w:left="2632"/>
              <w:spacing w:after="0"/>
              <w:rPr>
                <w:sz w:val="20"/>
                <w:szCs w:val="20"/>
                <w:color w:val="auto"/>
              </w:rPr>
            </w:pPr>
            <w:r>
              <w:rPr>
                <w:rFonts w:ascii="Times New Roman" w:cs="Times New Roman" w:eastAsia="Times New Roman" w:hAnsi="Times New Roman"/>
                <w:sz w:val="18"/>
                <w:szCs w:val="18"/>
                <w:color w:val="auto"/>
                <w:w w:val="99"/>
              </w:rPr>
              <w:t>21</w:t>
            </w:r>
          </w:p>
        </w:tc>
      </w:tr>
      <w:tr>
        <w:trPr>
          <w:trHeight w:val="230"/>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340" w:type="dxa"/>
            <w:vAlign w:val="bottom"/>
          </w:tcPr>
          <w:p>
            <w:pPr>
              <w:spacing w:after="0"/>
              <w:rPr>
                <w:sz w:val="19"/>
                <w:szCs w:val="19"/>
                <w:color w:val="auto"/>
              </w:rPr>
            </w:pPr>
          </w:p>
        </w:tc>
        <w:tc>
          <w:tcPr>
            <w:tcW w:w="3060" w:type="dxa"/>
            <w:vAlign w:val="bottom"/>
          </w:tcPr>
          <w:p>
            <w:pPr>
              <w:jc w:val="center"/>
              <w:ind w:left="2632"/>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3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center"/>
              <w:ind w:left="2592"/>
              <w:spacing w:after="0"/>
              <w:rPr>
                <w:sz w:val="20"/>
                <w:szCs w:val="20"/>
                <w:color w:val="auto"/>
              </w:rPr>
            </w:pPr>
            <w:r>
              <w:rPr>
                <w:rFonts w:ascii="Times New Roman" w:cs="Times New Roman" w:eastAsia="Times New Roman" w:hAnsi="Times New Roman"/>
                <w:sz w:val="18"/>
                <w:szCs w:val="18"/>
                <w:color w:val="auto"/>
                <w:w w:val="99"/>
              </w:rPr>
              <w:t>(12)</w:t>
            </w:r>
          </w:p>
        </w:tc>
      </w:tr>
      <w:tr>
        <w:trPr>
          <w:trHeight w:val="223"/>
        </w:trPr>
        <w:tc>
          <w:tcPr>
            <w:tcW w:w="78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3060" w:type="dxa"/>
            <w:vAlign w:val="bottom"/>
            <w:tcBorders>
              <w:bottom w:val="single" w:sz="8" w:color="auto"/>
            </w:tcBorders>
          </w:tcPr>
          <w:p>
            <w:pPr>
              <w:jc w:val="center"/>
              <w:ind w:left="2632"/>
              <w:spacing w:after="0"/>
              <w:rPr>
                <w:sz w:val="20"/>
                <w:szCs w:val="20"/>
                <w:color w:val="auto"/>
              </w:rPr>
            </w:pPr>
            <w:r>
              <w:rPr>
                <w:rFonts w:ascii="Times New Roman" w:cs="Times New Roman" w:eastAsia="Times New Roman" w:hAnsi="Times New Roman"/>
                <w:sz w:val="18"/>
                <w:szCs w:val="18"/>
                <w:color w:val="auto"/>
                <w:w w:val="99"/>
              </w:rPr>
              <w:t>24</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-86995</wp:posOffset>
            </wp:positionV>
            <wp:extent cx="2160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5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June 30, 2025</w:t>
            </w:r>
          </w:p>
        </w:tc>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30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did not have material unsatisfied performance obligations for contracts expected to be long-term or contracts for which we recognize revenue at an amount other than that for which we have the right to invoice for goods or services delivered or performed.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(3) Reportable Segments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2024 10-K.</w:t>
      </w:r>
    </w:p>
    <w:p>
      <w:pPr>
        <w:spacing w:after="0" w:line="9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(defined as our Chief Executive Officer) focuses on AEBITDA as management’s primary segment measure of profit or loss, which is described in footnote (5) to the below table. Our CODM uses reportable business segment AEBITDA to evaluate the performance of each reportable business segment and to allocate resources. Additionally, AEBITDA is one of the key metrics used in our incentive compensation program. The accounting policies for our reportable segments are the same as those described within the Notes in our 2024 10-K. The following tables present our reportable segment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Reportable</w:t>
            </w:r>
          </w:p>
        </w:tc>
        <w:tc>
          <w:tcPr>
            <w:tcW w:w="1640" w:type="dxa"/>
            <w:vAlign w:val="bottom"/>
            <w:gridSpan w:val="4"/>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20" w:type="dxa"/>
            <w:vAlign w:val="bottom"/>
            <w:vMerge w:val="restart"/>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5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Reconciling</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line="216" w:lineRule="exact"/>
              <w:rPr>
                <w:sz w:val="20"/>
                <w:szCs w:val="20"/>
                <w:color w:val="auto"/>
              </w:rPr>
            </w:pPr>
            <w:r>
              <w:rPr>
                <w:rFonts w:ascii="Times New Roman" w:cs="Times New Roman" w:eastAsia="Times New Roman" w:hAnsi="Times New Roman"/>
                <w:sz w:val="16"/>
                <w:szCs w:val="16"/>
                <w:b w:val="1"/>
                <w:bCs w:val="1"/>
                <w:color w:val="auto"/>
                <w:w w:val="95"/>
              </w:rPr>
              <w:t>Items</w:t>
            </w:r>
            <w:r>
              <w:rPr>
                <w:rFonts w:ascii="Times New Roman" w:cs="Times New Roman" w:eastAsia="Times New Roman" w:hAnsi="Times New Roman"/>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809</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(219)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(124)</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w w:val="97"/>
              </w:rPr>
              <w:t>(114)</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352</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spacing w:after="0"/>
              <w:rPr>
                <w:sz w:val="22"/>
                <w:szCs w:val="22"/>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2"/>
        </w:trPr>
        <w:tc>
          <w:tcPr>
            <w:tcW w:w="3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Capital expenditures for the three months</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June 30, 2025</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45" w:lineRule="exact"/>
        <w:rPr>
          <w:sz w:val="20"/>
          <w:szCs w:val="20"/>
          <w:color w:val="auto"/>
        </w:rPr>
      </w:pPr>
    </w:p>
    <w:p>
      <w:pPr>
        <w:ind w:left="20" w:right="200" w:firstLine="6"/>
        <w:spacing w:after="0" w:line="25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60" w:firstLine="6"/>
        <w:spacing w:after="0" w:line="251"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0" w:right="80" w:firstLine="6"/>
        <w:spacing w:after="0" w:line="229"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(3) interest expense; (4) gain (loss) on debt 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Reportable</w:t>
            </w:r>
          </w:p>
        </w:tc>
        <w:tc>
          <w:tcPr>
            <w:tcW w:w="1640" w:type="dxa"/>
            <w:vAlign w:val="bottom"/>
            <w:gridSpan w:val="4"/>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center"/>
              <w:ind w:right="5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Reconciling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line="216" w:lineRule="exact"/>
              <w:rPr>
                <w:sz w:val="20"/>
                <w:szCs w:val="20"/>
                <w:color w:val="auto"/>
              </w:rPr>
            </w:pPr>
            <w:r>
              <w:rPr>
                <w:rFonts w:ascii="Times New Roman" w:cs="Times New Roman" w:eastAsia="Times New Roman" w:hAnsi="Times New Roman"/>
                <w:sz w:val="16"/>
                <w:szCs w:val="16"/>
                <w:b w:val="1"/>
                <w:bCs w:val="1"/>
                <w:color w:val="auto"/>
                <w:w w:val="95"/>
              </w:rPr>
              <w:t>Items</w:t>
            </w:r>
            <w:r>
              <w:rPr>
                <w:rFonts w:ascii="Times New Roman" w:cs="Times New Roman" w:eastAsia="Times New Roman" w:hAnsi="Times New Roman"/>
                <w:sz w:val="21"/>
                <w:szCs w:val="21"/>
                <w:b w:val="1"/>
                <w:bCs w:val="1"/>
                <w:color w:val="auto"/>
                <w:w w:val="95"/>
                <w:vertAlign w:val="superscript"/>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6"/>
              </w:rPr>
              <w:t>818</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ind w:left="14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6"/>
              </w:rPr>
              <w:t>330</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3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Capital expenditures for the three months</w:t>
            </w:r>
          </w:p>
        </w:tc>
        <w:tc>
          <w:tcPr>
            <w:tcW w:w="6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June 30, 2024</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85</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45" w:lineRule="exact"/>
        <w:rPr>
          <w:sz w:val="20"/>
          <w:szCs w:val="20"/>
          <w:color w:val="auto"/>
        </w:rPr>
      </w:pPr>
    </w:p>
    <w:p>
      <w:pPr>
        <w:ind w:left="20" w:right="220" w:firstLine="6"/>
        <w:spacing w:after="0" w:line="251"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20" w:right="80" w:firstLine="6"/>
        <w:spacing w:after="0" w:line="251"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(5) to the first table in this Note 3.</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Reportable</w:t>
            </w:r>
          </w:p>
        </w:tc>
        <w:tc>
          <w:tcPr>
            <w:tcW w:w="136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28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1"/>
              <w:spacing w:after="0" w:line="216" w:lineRule="exact"/>
              <w:rPr>
                <w:sz w:val="20"/>
                <w:szCs w:val="20"/>
                <w:color w:val="auto"/>
              </w:rPr>
            </w:pPr>
            <w:r>
              <w:rPr>
                <w:rFonts w:ascii="Times New Roman" w:cs="Times New Roman" w:eastAsia="Times New Roman" w:hAnsi="Times New Roman"/>
                <w:sz w:val="16"/>
                <w:szCs w:val="16"/>
                <w:b w:val="1"/>
                <w:bCs w:val="1"/>
                <w:color w:val="auto"/>
                <w:w w:val="91"/>
              </w:rPr>
              <w:t>Items</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ind w:left="12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Capital expenditures for the six months</w:t>
            </w: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3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 2025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0" w:right="200" w:hanging="1"/>
        <w:spacing w:after="0" w:line="251" w:lineRule="auto"/>
        <w:tabs>
          <w:tab w:leader="none" w:pos="24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40" w:hanging="201"/>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40" w:right="40" w:hanging="1"/>
        <w:spacing w:after="0" w:line="251" w:lineRule="auto"/>
        <w:tabs>
          <w:tab w:leader="none" w:pos="24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40" w:hanging="201"/>
        <w:spacing w:after="0"/>
        <w:tabs>
          <w:tab w:leader="none" w:pos="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(5) to the first table in this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Reportable</w:t>
            </w:r>
          </w:p>
        </w:tc>
        <w:tc>
          <w:tcPr>
            <w:tcW w:w="1640" w:type="dxa"/>
            <w:vAlign w:val="bottom"/>
            <w:gridSpan w:val="4"/>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00" w:type="dxa"/>
            <w:vAlign w:val="bottom"/>
            <w:vMerge w:val="restart"/>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560"/>
              <w:spacing w:after="0" w:line="162" w:lineRule="exact"/>
              <w:rPr>
                <w:sz w:val="20"/>
                <w:szCs w:val="20"/>
                <w:color w:val="auto"/>
              </w:rPr>
            </w:pPr>
            <w:r>
              <w:rPr>
                <w:rFonts w:ascii="Times New Roman" w:cs="Times New Roman" w:eastAsia="Times New Roman" w:hAnsi="Times New Roman"/>
                <w:sz w:val="16"/>
                <w:szCs w:val="16"/>
                <w:b w:val="1"/>
                <w:bCs w:val="1"/>
                <w:color w:val="auto"/>
              </w:rPr>
              <w:t>Reconciling</w:t>
            </w: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3"/>
              <w:spacing w:after="0" w:line="216" w:lineRule="exact"/>
              <w:rPr>
                <w:sz w:val="20"/>
                <w:szCs w:val="20"/>
                <w:color w:val="auto"/>
              </w:rPr>
            </w:pPr>
            <w:r>
              <w:rPr>
                <w:rFonts w:ascii="Times New Roman" w:cs="Times New Roman" w:eastAsia="Times New Roman" w:hAnsi="Times New Roman"/>
                <w:sz w:val="16"/>
                <w:szCs w:val="16"/>
                <w:b w:val="1"/>
                <w:bCs w:val="1"/>
                <w:color w:val="auto"/>
                <w:w w:val="91"/>
              </w:rPr>
              <w:t>Items</w:t>
            </w:r>
            <w:r>
              <w:rPr>
                <w:rFonts w:ascii="Times New Roman" w:cs="Times New Roman" w:eastAsia="Times New Roman" w:hAnsi="Times New Roman"/>
                <w:sz w:val="21"/>
                <w:szCs w:val="21"/>
                <w:b w:val="1"/>
                <w:bCs w:val="1"/>
                <w:color w:val="auto"/>
                <w:w w:val="91"/>
                <w:vertAlign w:val="superscript"/>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Payroll and related</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reconciling items</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120"/>
              <w:spacing w:after="0" w:line="236" w:lineRule="exact"/>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7"/>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w:t>
            </w:r>
          </w:p>
        </w:tc>
        <w:tc>
          <w:tcPr>
            <w:tcW w:w="4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3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Capital expenditures for the six months</w:t>
            </w: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ended June 30, 2024</w:t>
            </w:r>
          </w:p>
        </w:tc>
        <w:tc>
          <w:tcPr>
            <w:tcW w:w="7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bl>
    <w:p>
      <w:pPr>
        <w:spacing w:after="0" w:line="45" w:lineRule="exact"/>
        <w:rPr>
          <w:sz w:val="20"/>
          <w:szCs w:val="20"/>
          <w:color w:val="auto"/>
        </w:rPr>
      </w:pPr>
    </w:p>
    <w:p>
      <w:pPr>
        <w:ind w:left="40" w:right="200" w:hanging="1"/>
        <w:spacing w:after="0" w:line="251" w:lineRule="auto"/>
        <w:tabs>
          <w:tab w:leader="none" w:pos="24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reportable segments (including corporate costs) and items to reconcile the total reportable segments AEBITDA to our consolidated net income before income taxes.</w:t>
      </w:r>
    </w:p>
    <w:p>
      <w:pPr>
        <w:ind w:left="240" w:hanging="201"/>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D&amp;A.</w:t>
      </w:r>
    </w:p>
    <w:p>
      <w:pPr>
        <w:spacing w:after="0" w:line="41"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stock-based compensation.</w:t>
      </w:r>
    </w:p>
    <w:p>
      <w:pPr>
        <w:spacing w:after="0" w:line="41" w:lineRule="exact"/>
        <w:rPr>
          <w:rFonts w:ascii="Times New Roman" w:cs="Times New Roman" w:eastAsia="Times New Roman" w:hAnsi="Times New Roman"/>
          <w:sz w:val="14"/>
          <w:szCs w:val="14"/>
          <w:color w:val="auto"/>
        </w:rPr>
      </w:pPr>
    </w:p>
    <w:p>
      <w:pPr>
        <w:ind w:left="40" w:right="40" w:hanging="1"/>
        <w:spacing w:after="0" w:line="251" w:lineRule="auto"/>
        <w:tabs>
          <w:tab w:leader="none" w:pos="24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various other non-payroll related operating expenses, including but not limited to, professional and legal services, marketing, facilities and operating leases, maintenance, and other operating expenses.</w:t>
      </w:r>
    </w:p>
    <w:p>
      <w:pPr>
        <w:ind w:left="240" w:hanging="201"/>
        <w:spacing w:after="0"/>
        <w:tabs>
          <w:tab w:leader="none" w:pos="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(5) to the first table in this Note 3.</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asset balances of each reportable business segment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Reportable</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Unallocated and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240" w:type="dxa"/>
            <w:vAlign w:val="bottom"/>
          </w:tcPr>
          <w:p>
            <w:pPr>
              <w:spacing w:after="0"/>
              <w:rPr>
                <w:sz w:val="14"/>
                <w:szCs w:val="14"/>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20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13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Reconciling</w:t>
            </w:r>
          </w:p>
        </w:tc>
        <w:tc>
          <w:tcPr>
            <w:tcW w:w="260" w:type="dxa"/>
            <w:vAlign w:val="bottom"/>
          </w:tcPr>
          <w:p>
            <w:pPr>
              <w:spacing w:after="0"/>
              <w:rPr>
                <w:sz w:val="14"/>
                <w:szCs w:val="14"/>
                <w:color w:val="auto"/>
              </w:rPr>
            </w:pPr>
          </w:p>
        </w:tc>
        <w:tc>
          <w:tcPr>
            <w:tcW w:w="98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line="216" w:lineRule="exact"/>
              <w:rPr>
                <w:sz w:val="20"/>
                <w:szCs w:val="20"/>
                <w:color w:val="auto"/>
              </w:rPr>
            </w:pPr>
            <w:r>
              <w:rPr>
                <w:rFonts w:ascii="Times New Roman" w:cs="Times New Roman" w:eastAsia="Times New Roman" w:hAnsi="Times New Roman"/>
                <w:sz w:val="16"/>
                <w:szCs w:val="16"/>
                <w:b w:val="1"/>
                <w:bCs w:val="1"/>
                <w:color w:val="auto"/>
                <w:w w:val="95"/>
              </w:rPr>
              <w:t>Items</w:t>
            </w:r>
            <w:r>
              <w:rPr>
                <w:rFonts w:ascii="Times New Roman" w:cs="Times New Roman" w:eastAsia="Times New Roman" w:hAnsi="Times New Roman"/>
                <w:sz w:val="21"/>
                <w:szCs w:val="21"/>
                <w:b w:val="1"/>
                <w:bCs w:val="1"/>
                <w:color w:val="auto"/>
                <w:w w:val="95"/>
                <w:vertAlign w:val="superscript"/>
              </w:rPr>
              <w:t>(1)</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as of June 30,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as of December 31, 2024</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(1) Includes amounts not allocated to the reportable segments (including corporate amounts) and items to reconcile the total reportable segments assets to our consolidated assets.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and Other</w:t>
      </w:r>
    </w:p>
    <w:p>
      <w:pPr>
        <w:spacing w:after="0" w:line="14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review and other unusual items. The following table summarizes pre-tax restructuring and other costs for the periods presented: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3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related</w:t>
            </w:r>
          </w:p>
        </w:tc>
        <w:tc>
          <w:tcPr>
            <w:tcW w:w="11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review, acquisitions and related</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4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Receivables, Allowance for Credit Losses and Credit Quality of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20" w:type="dxa"/>
            <w:vAlign w:val="bottom"/>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receivables, net</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120" w:type="dxa"/>
            <w:vAlign w:val="bottom"/>
            <w:tcBorders>
              <w:bottom w:val="single" w:sz="8" w:color="auto"/>
            </w:tcBorders>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6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2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9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receivables</w:t>
            </w:r>
          </w:p>
        </w:tc>
        <w:tc>
          <w:tcPr>
            <w:tcW w:w="980" w:type="dxa"/>
            <w:vAlign w:val="bottom"/>
          </w:tcPr>
          <w:p>
            <w:pPr>
              <w:spacing w:after="0"/>
              <w:rPr>
                <w:sz w:val="19"/>
                <w:szCs w:val="19"/>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980" w:type="dxa"/>
            <w:vAlign w:val="bottom"/>
          </w:tcPr>
          <w:p>
            <w:pPr>
              <w:spacing w:after="0"/>
              <w:rPr>
                <w:sz w:val="19"/>
                <w:szCs w:val="19"/>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98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and six months ended June 30, 2025 and 2024 is as follows: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446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as of June 30</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December 31, 2024, 4% of our total receivables, net, were past due by over 90 days.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Credit Quality of Receivables</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29"/>
        </w:trPr>
        <w:tc>
          <w:tcPr>
            <w:tcW w:w="4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1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9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June 30, 2025 and December 31, 2024,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2120" w:type="dxa"/>
            <w:vAlign w:val="bottom"/>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5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120" w:type="dxa"/>
            <w:vAlign w:val="bottom"/>
            <w:tcBorders>
              <w:bottom w:val="single" w:sz="8" w:color="auto"/>
            </w:tcBorders>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80" w:type="dxa"/>
            <w:vAlign w:val="bottom"/>
            <w:shd w:val="clear" w:color="auto" w:fill="CCEEFF"/>
          </w:tcPr>
          <w:p>
            <w:pPr>
              <w:jc w:val="right"/>
              <w:ind w:right="1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3"/>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80" w:type="dxa"/>
            <w:vAlign w:val="bottom"/>
            <w:tcBorders>
              <w:bottom w:val="single" w:sz="8" w:color="auto"/>
            </w:tcBorders>
          </w:tcPr>
          <w:p>
            <w:pPr>
              <w:jc w:val="right"/>
              <w:ind w:right="189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
        </w:trPr>
        <w:tc>
          <w:tcPr>
            <w:tcW w:w="56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9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25"/>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June 30, 2025 and December 31, 2024.</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3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2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427"/>
        </w:trPr>
        <w:tc>
          <w:tcPr>
            <w:tcW w:w="20" w:type="dxa"/>
            <w:vAlign w:val="bottom"/>
          </w:tcPr>
          <w:p>
            <w:pPr>
              <w:spacing w:after="0"/>
              <w:rPr>
                <w:sz w:val="24"/>
                <w:szCs w:val="24"/>
                <w:color w:val="auto"/>
              </w:rPr>
            </w:pPr>
          </w:p>
        </w:tc>
        <w:tc>
          <w:tcPr>
            <w:tcW w:w="11200" w:type="dxa"/>
            <w:vAlign w:val="bottom"/>
            <w:gridSpan w:val="24"/>
          </w:tcPr>
          <w:p>
            <w:pPr>
              <w:ind w:left="640"/>
              <w:spacing w:after="0"/>
              <w:rPr>
                <w:sz w:val="20"/>
                <w:szCs w:val="20"/>
                <w:color w:val="auto"/>
              </w:rPr>
            </w:pPr>
            <w:r>
              <w:rPr>
                <w:rFonts w:ascii="Times New Roman" w:cs="Times New Roman" w:eastAsia="Times New Roman" w:hAnsi="Times New Roman"/>
                <w:sz w:val="18"/>
                <w:szCs w:val="18"/>
                <w:color w:val="auto"/>
              </w:rPr>
              <w:t>Estimated intangible asset amortization expense for the remaining year ending December 31, 2025 and each of the subsequent four years is as</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Remainder of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 w:type="dxa"/>
            <w:vAlign w:val="bottom"/>
          </w:tcPr>
          <w:p>
            <w:pPr>
              <w:spacing w:after="0"/>
              <w:rPr>
                <w:sz w:val="18"/>
                <w:szCs w:val="18"/>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68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reportable segment, for the period from December 31, 2024 to June 30,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30"/>
        </w:trPr>
        <w:tc>
          <w:tcPr>
            <w:tcW w:w="5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Acquired goodwill</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196"/>
        </w:trPr>
        <w:tc>
          <w:tcPr>
            <w:tcW w:w="5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as of June 30, 2025</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3,355</w:t>
            </w:r>
          </w:p>
        </w:tc>
      </w:tr>
      <w:tr>
        <w:trPr>
          <w:trHeight w:val="20"/>
        </w:trPr>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goodwill impairment charges for the Gaming segment as of June 30, 2025 were $989 million.</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related to the Grover acquisition (see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(9) Software,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0" w:type="dxa"/>
            <w:vAlign w:val="bottom"/>
            <w:shd w:val="clear" w:color="auto" w:fill="CCEEFF"/>
          </w:tcPr>
          <w:p>
            <w:pPr>
              <w:jc w:val="right"/>
              <w:ind w:right="1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29"/>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net</w:t>
            </w:r>
          </w:p>
        </w:tc>
        <w:tc>
          <w:tcPr>
            <w:tcW w:w="2000" w:type="dxa"/>
            <w:vAlign w:val="bottom"/>
            <w:tcBorders>
              <w:bottom w:val="single" w:sz="8" w:color="auto"/>
            </w:tcBorders>
            <w:shd w:val="clear" w:color="auto" w:fill="CCEEFF"/>
          </w:tcPr>
          <w:p>
            <w:pPr>
              <w:jc w:val="right"/>
              <w:ind w:right="18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9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Unamortized debt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deferred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Rate(s)</w:t>
            </w:r>
          </w:p>
        </w:tc>
        <w:tc>
          <w:tcPr>
            <w:tcW w:w="140" w:type="dxa"/>
            <w:vAlign w:val="bottom"/>
          </w:tcPr>
          <w:p>
            <w:pPr>
              <w:spacing w:after="0"/>
              <w:rPr>
                <w:sz w:val="14"/>
                <w:szCs w:val="14"/>
                <w:color w:val="auto"/>
              </w:rPr>
            </w:pPr>
          </w:p>
        </w:tc>
        <w:tc>
          <w:tcPr>
            <w:tcW w:w="9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Face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120" w:type="dxa"/>
            <w:vAlign w:val="bottom"/>
          </w:tcPr>
          <w:p>
            <w:pPr>
              <w:spacing w:after="0"/>
              <w:rPr>
                <w:sz w:val="14"/>
                <w:szCs w:val="14"/>
                <w:color w:val="auto"/>
              </w:rPr>
            </w:pPr>
          </w:p>
        </w:tc>
        <w:tc>
          <w:tcPr>
            <w:tcW w:w="1140" w:type="dxa"/>
            <w:vAlign w:val="bottom"/>
            <w:vMerge w:val="restart"/>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variable</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0" w:type="dxa"/>
            <w:vAlign w:val="bottom"/>
          </w:tcPr>
          <w:p>
            <w:pPr>
              <w:spacing w:after="0"/>
              <w:rPr>
                <w:sz w:val="1"/>
                <w:szCs w:val="1"/>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40" w:type="dxa"/>
            <w:vAlign w:val="bottom"/>
            <w:tcBorders>
              <w:top w:val="single" w:sz="8" w:color="CCEEFF"/>
              <w:bottom w:val="single" w:sz="8" w:color="CCEEFF"/>
            </w:tcBorders>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4,935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LNWI Credit Agreement Amendment - Revolver Upsizing</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10, 2025, we entered into an amendment to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to the earlier of (x) February 10, 2030 and (y) such earlier date that is 91 days prior to the maturity of our existing term loans (scheduled to mature on April 14, 2029) and existing notes (the earliest maturity of which is scheduled for May 15, 2028), solely to the extent more than $500 million of such term loans and/or such applicable notes are outstanding on such earlier date, and subject to us having sufficient liquidity to repay such term loans and/or applicable notes at such time and (iii) reduced the applicable margin for the revolving loans bearing interest at Adjusted Term SOFR Rate (or an alternative benchmark rate for non-US dollar borrowings) to, based upon certain leverage tests, between 2.00% and 1.50% per annum, and for loans bearing interest at a base rate, between 1.00% and 0.50% per annum.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LNWI Term Loan A Borrowing</w:t>
      </w:r>
    </w:p>
    <w:p>
      <w:pPr>
        <w:spacing w:after="0" w:line="16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15, 2025 (the “TLA Closing Date”),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w:t>
      </w:r>
    </w:p>
    <w:p>
      <w:pPr>
        <w:spacing w:after="0" w:line="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Loans under the LNWI Term Loan A will mature on May 15, 2028 and, beginning with the first fiscal quarter ending on September 30, 2025, will amortize in quarterly installments in aggregate amounts equal to (i) for the first four full fiscal quarters following the TLA Closing Date, 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w:t>
      </w:r>
    </w:p>
    <w:p>
      <w:pPr>
        <w:spacing w:after="0" w:line="116" w:lineRule="exact"/>
        <w:rPr>
          <w:sz w:val="20"/>
          <w:szCs w:val="20"/>
          <w:color w:val="auto"/>
        </w:rPr>
      </w:pPr>
    </w:p>
    <w:p>
      <w:pPr>
        <w:jc w:val="both"/>
        <w:ind w:right="100" w:firstLine="648"/>
        <w:spacing w:after="0" w:line="312" w:lineRule="auto"/>
        <w:rPr>
          <w:sz w:val="20"/>
          <w:szCs w:val="20"/>
          <w:color w:val="auto"/>
        </w:rPr>
      </w:pPr>
      <w:r>
        <w:rPr>
          <w:rFonts w:ascii="Times New Roman" w:cs="Times New Roman" w:eastAsia="Times New Roman" w:hAnsi="Times New Roman"/>
          <w:sz w:val="17"/>
          <w:szCs w:val="17"/>
          <w:color w:val="auto"/>
        </w:rPr>
        <w:t>Loans under the LNWI Term Loan A will, at LNWI’s option, bear interest at either (i) Adjusted Term SOFR Rate (as defined in the LNWI Credit Agreement A) plus, based upon certain leverage tests, between 2.00% and 1.50% per annum or (ii) a base rate plus between 1.00% and 0.50% per annum.</w:t>
      </w:r>
    </w:p>
    <w:p>
      <w:pPr>
        <w:spacing w:after="0" w:line="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LNWI Term Loan A is subject to customary affirmative covenants and negative covenants as well as a financial covenant. The financial covenant is tested at the end of each fiscal quarter, and it requires that the Company not be in excess of a maximum consolidated net first lien leverage ratio of 4.50:1.00.</w:t>
      </w:r>
    </w:p>
    <w:p>
      <w:pPr>
        <w:spacing w:after="0" w:line="9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June 30, 2025 (for information regarding our financial covenants of all debt agreements, see above and Note 14 in our 2024 10-K).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of our credit facilities and Senior Notes, see Note 14 in our 2024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4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we held the following derivative instruments that were accounted for pursuant to ASC 815: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pacing w:after="0" w:line="9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June 30, 2025. These hedges mature in April 2027.</w:t>
      </w:r>
    </w:p>
    <w:p>
      <w:pPr>
        <w:spacing w:after="0" w:line="9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(loss) gain and interest income on our interest rate swap contracts: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8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57"/>
        </w:trPr>
        <w:tc>
          <w:tcPr>
            <w:tcW w:w="48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(Loss) gain recorded in accumulated other comprehensive loss,</w:t>
            </w:r>
          </w:p>
        </w:tc>
        <w:tc>
          <w:tcPr>
            <w:tcW w:w="1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43"/>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6"/>
        </w:trPr>
        <w:tc>
          <w:tcPr>
            <w:tcW w:w="4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Interest income related to interest rate swap contracts recorded in</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income: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1"/>
        </w:trPr>
        <w:tc>
          <w:tcPr>
            <w:tcW w:w="27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r>
      <w:tr>
        <w:trPr>
          <w:trHeight w:val="166"/>
        </w:trPr>
        <w:tc>
          <w:tcPr>
            <w:tcW w:w="484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Total interest expense which reflects the effects of cash flow</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34"/>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2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59"/>
        </w:trPr>
        <w:tc>
          <w:tcPr>
            <w:tcW w:w="5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214"/>
        </w:trPr>
        <w:tc>
          <w:tcPr>
            <w:tcW w:w="2760" w:type="dxa"/>
            <w:vAlign w:val="bottom"/>
            <w:tcBorders>
              <w:bottom w:val="single" w:sz="8" w:color="CCEEFF"/>
            </w:tcBorders>
          </w:tcPr>
          <w:p>
            <w:pPr>
              <w:spacing w:after="0"/>
              <w:rPr>
                <w:sz w:val="18"/>
                <w:szCs w:val="18"/>
                <w:color w:val="auto"/>
              </w:rPr>
            </w:pPr>
          </w:p>
        </w:tc>
        <w:tc>
          <w:tcPr>
            <w:tcW w:w="2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00" w:type="dxa"/>
            <w:vAlign w:val="bottom"/>
            <w:tcBorders>
              <w:bottom w:val="single" w:sz="8" w:color="auto"/>
            </w:tcBorders>
          </w:tcPr>
          <w:p>
            <w:pPr>
              <w:spacing w:after="0"/>
              <w:rPr>
                <w:sz w:val="18"/>
                <w:szCs w:val="18"/>
                <w:color w:val="auto"/>
              </w:rPr>
            </w:pPr>
          </w:p>
        </w:tc>
      </w:tr>
      <w:tr>
        <w:trPr>
          <w:trHeight w:val="22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420" w:type="dxa"/>
            <w:vAlign w:val="bottom"/>
            <w:gridSpan w:val="2"/>
            <w:shd w:val="clear" w:color="auto" w:fill="CCEEFF"/>
          </w:tcPr>
          <w:p>
            <w:pPr>
              <w:jc w:val="right"/>
              <w:ind w:right="1540"/>
              <w:spacing w:after="0"/>
              <w:rPr>
                <w:sz w:val="20"/>
                <w:szCs w:val="20"/>
                <w:color w:val="auto"/>
              </w:rPr>
            </w:pPr>
            <w:r>
              <w:rPr>
                <w:rFonts w:ascii="Times New Roman" w:cs="Times New Roman" w:eastAsia="Times New Roman" w:hAnsi="Times New Roman"/>
                <w:sz w:val="18"/>
                <w:szCs w:val="18"/>
                <w:color w:val="auto"/>
                <w:w w:val="98"/>
              </w:rPr>
              <w:t>Other assets</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2024 to June 30,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58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Additions</w:t>
            </w:r>
            <w:r>
              <w:rPr>
                <w:rFonts w:ascii="Times New Roman" w:cs="Times New Roman" w:eastAsia="Times New Roman" w:hAnsi="Times New Roman"/>
                <w:sz w:val="23"/>
                <w:szCs w:val="23"/>
                <w:color w:val="auto"/>
                <w:vertAlign w:val="superscript"/>
              </w:rPr>
              <w:t>(1)</w:t>
            </w:r>
          </w:p>
        </w:tc>
        <w:tc>
          <w:tcPr>
            <w:tcW w:w="1580" w:type="dxa"/>
            <w:vAlign w:val="bottom"/>
          </w:tcPr>
          <w:p>
            <w:pPr>
              <w:spacing w:after="0"/>
              <w:rPr>
                <w:sz w:val="19"/>
                <w:szCs w:val="19"/>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(2)</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58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63</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liability related to the Grover acquisition (see Note 1).</w:t>
      </w:r>
    </w:p>
    <w:p>
      <w:pPr>
        <w:spacing w:after="0" w:line="41" w:lineRule="exact"/>
        <w:rPr>
          <w:rFonts w:ascii="Times New Roman" w:cs="Times New Roman" w:eastAsia="Times New Roman" w:hAnsi="Times New Roman"/>
          <w:sz w:val="14"/>
          <w:szCs w:val="14"/>
          <w:color w:val="auto"/>
        </w:rPr>
      </w:pPr>
    </w:p>
    <w:p>
      <w:pPr>
        <w:ind w:left="20" w:right="540" w:firstLine="6"/>
        <w:spacing w:after="0" w:line="241" w:lineRule="auto"/>
        <w:tabs>
          <w:tab w:leader="none" w:pos="2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$6 million in redeemable non-controlling interest liability associated with SciPlay’s acquisition of Alictus Yazilim Anonim Şirketi in 2022, as specified financial targets were not met. The gain was recorded in other (expense) income, net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as of June 30,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43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Purchase of treasury stock</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72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(1) Includes excise taxes of $1 million and $2 million for three and six months ended June 30, 2025, respectively.</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1"/>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5"/>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220" w:type="dxa"/>
            <w:vAlign w:val="bottom"/>
            <w:tcBorders>
              <w:top w:val="single" w:sz="8" w:color="auto"/>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 and other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4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we recognized $31 million and $59 million, respectively, in total stock-based compensation expense under all programs. These amounts include $17 million and $27 million of stock-based compensation classified as liability awards for the three and six months ended June 30, 2025, respectively. For the three and six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ind w:right="100"/>
        <w:spacing w:after="0" w:line="266" w:lineRule="auto"/>
        <w:rPr>
          <w:sz w:val="20"/>
          <w:szCs w:val="20"/>
          <w:color w:val="auto"/>
        </w:rPr>
      </w:pPr>
      <w:r>
        <w:rPr>
          <w:rFonts w:ascii="Times New Roman" w:cs="Times New Roman" w:eastAsia="Times New Roman" w:hAnsi="Times New Roman"/>
          <w:sz w:val="18"/>
          <w:szCs w:val="18"/>
          <w:color w:val="auto"/>
        </w:rPr>
        <w:t>months ended June 30, 2024, we recognized $31 million and $53 million, respectively, in total stock-based compensation expense under all programs. These amounts include $11 million and $19 million of stock-based compensation classified as liability awards for the three and six months ended June 30,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six months ended June 30, 2025 is presented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Restricted Stock Units</w:t>
            </w:r>
          </w:p>
        </w:tc>
        <w:tc>
          <w:tcPr>
            <w:tcW w:w="140" w:type="dxa"/>
            <w:vAlign w:val="bottom"/>
          </w:tcPr>
          <w:p>
            <w:pPr>
              <w:spacing w:after="0"/>
              <w:rPr>
                <w:sz w:val="16"/>
                <w:szCs w:val="16"/>
                <w:color w:val="auto"/>
              </w:rPr>
            </w:pPr>
          </w:p>
        </w:tc>
        <w:tc>
          <w:tcPr>
            <w:tcW w:w="260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tcPr>
          <w:p>
            <w:pPr>
              <w:jc w:val="right"/>
              <w:ind w:right="10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2740" w:type="dxa"/>
            <w:vAlign w:val="bottom"/>
            <w:tcBorders>
              <w:top w:val="single" w:sz="8" w:color="auto"/>
            </w:tcBorders>
            <w:shd w:val="clear" w:color="auto" w:fill="CCEEFF"/>
          </w:tcPr>
          <w:p>
            <w:pPr>
              <w:jc w:val="center"/>
              <w:ind w:left="2272"/>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tcPr>
          <w:p>
            <w:pPr>
              <w:jc w:val="center"/>
              <w:ind w:left="2272"/>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740" w:type="dxa"/>
            <w:vAlign w:val="bottom"/>
            <w:shd w:val="clear" w:color="auto" w:fill="CCEEFF"/>
          </w:tcPr>
          <w:p>
            <w:pPr>
              <w:jc w:val="center"/>
              <w:ind w:left="225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2740" w:type="dxa"/>
            <w:vAlign w:val="bottom"/>
            <w:tcBorders>
              <w:bottom w:val="single" w:sz="8" w:color="auto"/>
            </w:tcBorders>
          </w:tcPr>
          <w:p>
            <w:pPr>
              <w:jc w:val="center"/>
              <w:ind w:left="225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June 30, 2025</w:t>
            </w:r>
          </w:p>
        </w:tc>
        <w:tc>
          <w:tcPr>
            <w:tcW w:w="2740" w:type="dxa"/>
            <w:vAlign w:val="bottom"/>
            <w:tcBorders>
              <w:bottom w:val="single" w:sz="8" w:color="auto"/>
            </w:tcBorders>
            <w:shd w:val="clear" w:color="auto" w:fill="CCEEFF"/>
          </w:tcPr>
          <w:p>
            <w:pPr>
              <w:jc w:val="center"/>
              <w:ind w:left="2272"/>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firstLine="648"/>
        <w:spacing w:after="0" w:line="281" w:lineRule="auto"/>
        <w:rPr>
          <w:sz w:val="20"/>
          <w:szCs w:val="20"/>
          <w:color w:val="auto"/>
        </w:rPr>
      </w:pPr>
      <w:r>
        <w:rPr>
          <w:rFonts w:ascii="Times New Roman" w:cs="Times New Roman" w:eastAsia="Times New Roman" w:hAnsi="Times New Roman"/>
          <w:sz w:val="17"/>
          <w:szCs w:val="17"/>
          <w:color w:val="auto"/>
        </w:rPr>
        <w:t>The weighted-average grant date fair value of RSUs granted during the six months ended June 30, 2025 and 2024 was $105.28 and $99.57, respectively. The fair value of each RSU grant is based on the market value of our common stock at the time of grant. As of June 30, 2025, we had $121 million of unrecognized stock-based compensation expense relating to unvested RSUs amortized over a weighted-average period of approximately 1.3 years. The fair value at vesting date of RSUs vested during the six months ended June 30, 2025 and 2024 was $113 million and $130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6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June 11, 2024, our Board of Directors approved a share repurchase program under which the Company is authorized to repurchase, from time to time through June 12, 2027, up to an aggregate amount of $1.0 billion of shares of outstanding common stock. During the six months ended June 30, 2025, we repurchased approximately 3.1 million shares of common stock under the repurchase program at an aggregate cost of $268 million (including excise tax). On July 31, 2025, our Board of Directors approved an additional aggregate amount of up to $500 million of shares of outstanding common stock as authorized to be repurchased under the share repurchase program.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with the prior year as of June 30, 2025.</w:t>
      </w:r>
    </w:p>
    <w:p>
      <w:pPr>
        <w:spacing w:after="0" w:line="11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income tax expense (including discrete items) was $29 million and $51 million for the three and six months ended June 30, 2025, respectively, and $26 million and $44 million for the three and six months ended June 30, 2024, respectively. For the three and six months ended June 30, 2025, our effective tax rate differed from the U.S. statutory rate of 21% primarily as a result of worldwide tax rates on foreign earnings. In all periods, we recorded tax expense relative to pre-tax earnings in jurisdictions without valuation allowances.</w:t>
      </w:r>
    </w:p>
    <w:p>
      <w:pPr>
        <w:spacing w:after="0" w:line="9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its impact on our consolidated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total operating lease expense for the three and six months ended June 30, 2025 was $7 million and $13 million, respectively, and $6 million and $12 million for the three and six months ended June 30, 2024, respectively. The total amount of variable and short-term lease payments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2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465"/>
        </w:trPr>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gridSpan w:val="10"/>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3"/>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7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Lease liability maturities: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360" w:type="dxa"/>
            <w:vAlign w:val="bottom"/>
          </w:tcPr>
          <w:p>
            <w:pPr>
              <w:spacing w:after="0"/>
              <w:rPr>
                <w:sz w:val="24"/>
                <w:szCs w:val="24"/>
                <w:color w:val="auto"/>
              </w:rPr>
            </w:pPr>
          </w:p>
        </w:tc>
        <w:tc>
          <w:tcPr>
            <w:tcW w:w="7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5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we did not have material additional operating leases that have not yet commenced.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6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$17 million and $89 million for all of our legal matters that were contingencies as of June 30, 2025 and December 31, 2024.</w:t>
      </w:r>
    </w:p>
    <w:p>
      <w:pPr>
        <w:spacing w:after="0" w:line="10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w:t>
      </w:r>
    </w:p>
    <w:p>
      <w:pPr>
        <w:spacing w:after="0" w:line="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 may not have progressed sufficiently through discovery or there may be significant factual or legal issues to be resolved or developed; and/or</w:t>
      </w:r>
    </w:p>
    <w:p>
      <w:pPr>
        <w:spacing w:after="0" w:line="9" w:lineRule="exact"/>
        <w:rPr>
          <w:rFonts w:ascii="Times New Roman" w:cs="Times New Roman" w:eastAsia="Times New Roman" w:hAnsi="Times New Roman"/>
          <w:sz w:val="18"/>
          <w:szCs w:val="18"/>
          <w:color w:val="auto"/>
        </w:rPr>
      </w:pPr>
    </w:p>
    <w:p>
      <w:pPr>
        <w:ind w:right="100" w:firstLine="8"/>
        <w:spacing w:after="0" w:line="219" w:lineRule="exact"/>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9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spacing w:after="0" w:line="1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SNAI Litigation</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spacing w:after="0" w:line="102" w:lineRule="exact"/>
        <w:rPr>
          <w:sz w:val="20"/>
          <w:szCs w:val="20"/>
          <w:color w:val="auto"/>
        </w:rPr>
      </w:pPr>
    </w:p>
    <w:p>
      <w:pPr>
        <w:ind w:right="40" w:firstLine="648"/>
        <w:spacing w:after="0" w:line="219" w:lineRule="exact"/>
        <w:rPr>
          <w:sz w:val="20"/>
          <w:szCs w:val="20"/>
          <w:color w:val="auto"/>
        </w:rPr>
      </w:pPr>
      <w:r>
        <w:rPr>
          <w:rFonts w:ascii="Times New Roman" w:cs="Times New Roman" w:eastAsia="Times New Roman" w:hAnsi="Times New Roman"/>
          <w:sz w:val="18"/>
          <w:szCs w:val="18"/>
          <w:color w:val="auto"/>
        </w:rPr>
        <w:t>In October 2012, SNAI filed a lawsuit in the Court of First Instance of Rome in Italy against Barcrest and The Global Draw Limited (“Global Draw”), our subsidiary which acquired Barcrest from IGT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spacing w:after="0" w:line="1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To date, we have paid €9.4 million to SNAI pursuant to our indemnification obligations.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TCS John Huxley Matter</w:t>
      </w:r>
    </w:p>
    <w:p>
      <w:pPr>
        <w:spacing w:after="0" w:line="14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 part defendants’ motion for summary judgment. On April 30, 2024, the court issued an order setting the matter for a jury trial starting on May 5, 2025. On February 23, 2025, the parties finalized an agreement, pursuant to which the Company paid $72.5 million to resolve this matter in April 2025. On February 27, 2025, the court dismissed the case without prejudice and struck all pending deadlines. On April 10, 2025, the court dismissed the case with prejudice.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Automatic Card Shufflers Litigation Matter</w:t>
      </w:r>
    </w:p>
    <w:p>
      <w:pPr>
        <w:spacing w:after="0" w:line="16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8" w:name="page29"/>
    <w:bookmarkEnd w:id="28"/>
    <w:p>
      <w:pPr>
        <w:ind w:right="20"/>
        <w:spacing w:after="0" w:line="254" w:lineRule="auto"/>
        <w:rPr>
          <w:sz w:val="20"/>
          <w:szCs w:val="20"/>
          <w:color w:val="auto"/>
        </w:rPr>
      </w:pPr>
      <w:r>
        <w:rPr>
          <w:rFonts w:ascii="Times New Roman" w:cs="Times New Roman" w:eastAsia="Times New Roman" w:hAnsi="Times New Roman"/>
          <w:sz w:val="18"/>
          <w:szCs w:val="18"/>
          <w:color w:val="auto"/>
        </w:rPr>
        <w:t>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On May 8, 2025, the court held a hearing on the pending motions for summary judgment. We are currently unable to determine the likelihood of an outcome or estimate a range of reasonably possible losses, if any. We believe that the claims are without merit, and intend to vigorously defend against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4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We are currently unable to determine the likelihood of an outcome or estimate a range of reasonably possible losses, if any. We believe that the claims in the arbitration demand are without merit, and intend to vigorously defend against them.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Allah Beautiful Matter</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December 9, 2024. The parties signed a written settlement agreement on January 6, 2025, which is subject to court approval.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Sprinkle Matter</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9" w:name="page30"/>
    <w:bookmarkEnd w:id="29"/>
    <w:p>
      <w:pPr>
        <w:ind w:right="140"/>
        <w:spacing w:after="0" w:line="414" w:lineRule="auto"/>
        <w:rPr>
          <w:sz w:val="20"/>
          <w:szCs w:val="20"/>
          <w:color w:val="auto"/>
        </w:rPr>
      </w:pPr>
      <w:r>
        <w:rPr>
          <w:rFonts w:ascii="Times New Roman" w:cs="Times New Roman" w:eastAsia="Times New Roman" w:hAnsi="Times New Roman"/>
          <w:sz w:val="18"/>
          <w:szCs w:val="18"/>
          <w:color w:val="auto"/>
        </w:rPr>
        <w:t xml:space="preserve">closed the case as settled on December 9, 2024. The parties signed a written settlement agreement on January 6, 2025, which is subject to court approval. </w:t>
      </w:r>
      <w:r>
        <w:rPr>
          <w:rFonts w:ascii="Times New Roman" w:cs="Times New Roman" w:eastAsia="Times New Roman" w:hAnsi="Times New Roman"/>
          <w:sz w:val="18"/>
          <w:szCs w:val="18"/>
          <w:i w:val="1"/>
          <w:iCs w:val="1"/>
          <w:color w:val="auto"/>
        </w:rPr>
        <w:t>Andrea Sornberger Matter</w:t>
      </w:r>
    </w:p>
    <w:p>
      <w:pPr>
        <w:spacing w:after="0" w:line="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March 8, 2023, plaintiff Andrea Sornberger filed a complaint against SciPlay Corporation and SciPlay Games, LLC in the Circuit Court of Franklin County, Alabama. The complaint asserts claims for alleged violations of Alabama’s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On September 30, 2024, the parties entered into a written term sheet to resolve the matter, subject to the execution of a written settlement agreement and judicial approval of the settlement terms. On October 8, 2024, the Court granted the Plaintiff’s unopposed motion to stay the case and stayed the case until October 29, 2024. On November 12, 2024, the parties jointly stipulated to dismiss the case without prejudice to time-related defenses, should the settlement agreement between the parties not become final. The parties signed a written settlement agreement on January 6, 2025, which is still subject to court approval. On March 25, 2025, the Court dismissed the case with prejudice, provided, however, that if the terms of the settlement were not fully consummated within 45 days of the order, then the Court would entertain a petition to reinstate the action. On March 28, 2025, plaintiff filed an unopposed motion to vacate the dismissal with prejudice and asked the Court to enter a dismissal order consistent with the parties’ agreed-upon stipulation of dismissal; the Court has not ruled on the plaintiff’s motion.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Roberts Matter</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On May 30, 2024, respondent filed a motion to dismiss the claimant’s arbitration demand. On August 12, 2024, the Arbitrators granted respondent’s motion to dismiss in part, and dismissed the claimant’s claims seeking to recover losses of other Kentucky residents. The Arbitrators allowed claimant’s claim for his own personal alleged losses to proceed. On September 30, 2024, the parties entered into a written term sheet to resolve the matter, subject to the execution of a written settlement agreement and judicial approval of the settlement terms. In response to respondent’s unopposed request to stay the matter, on October 3, 2024, the Arbitrators marked the case file inactive. The parties signed a written settlement agreement on January 6, 2025, which is subject to court approval.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Ebersole Matter</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 closed the case as settled on June 13, 2025. The parties signed a written settlement agreement on January 6, 2025, which is subject to court approval.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Murnaghan Matter</w:t>
      </w:r>
    </w:p>
    <w:p>
      <w:pPr>
        <w:spacing w:after="0" w:line="14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the Arbitrators denied on May 16, 2024. On September 30, 2024, the parties entered into a written term sheet to resolve the matter, subject to the execution of a written settlement agreement and judicial approval of the settlement terms. On October 1, 2024, the Arbitrators granted respondent’s unopposed motion to stay the matter, and the American Arbitration Association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0" w:name="page31"/>
    <w:bookmarkEnd w:id="30"/>
    <w:p>
      <w:pPr>
        <w:ind w:right="500"/>
        <w:spacing w:after="0" w:line="414" w:lineRule="auto"/>
        <w:rPr>
          <w:sz w:val="20"/>
          <w:szCs w:val="20"/>
          <w:color w:val="auto"/>
        </w:rPr>
      </w:pPr>
      <w:r>
        <w:rPr>
          <w:rFonts w:ascii="Times New Roman" w:cs="Times New Roman" w:eastAsia="Times New Roman" w:hAnsi="Times New Roman"/>
          <w:sz w:val="18"/>
          <w:szCs w:val="18"/>
          <w:color w:val="auto"/>
        </w:rPr>
        <w:t xml:space="preserve">closed the case as settled on June 12, 2025. The parties signed a written settlement agreement on January 6, 2025, which is subject to court approval. </w:t>
      </w:r>
      <w:r>
        <w:rPr>
          <w:rFonts w:ascii="Times New Roman" w:cs="Times New Roman" w:eastAsia="Times New Roman" w:hAnsi="Times New Roman"/>
          <w:sz w:val="18"/>
          <w:szCs w:val="18"/>
          <w:i w:val="1"/>
          <w:iCs w:val="1"/>
          <w:color w:val="auto"/>
        </w:rPr>
        <w:t>Ewing Matter</w:t>
      </w:r>
    </w:p>
    <w:p>
      <w:pPr>
        <w:spacing w:after="0" w:line="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November 13,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On January 22, 2024, defendants filed a motion to dismiss plaintiff’s complaint and a motion to compel arbitration of plaintiff’s claims. On September 26, 2024, the United States District Court for the Eastern District of Tennessee granted plaintiff’s motion to remand the case to State court. In light of the remand order, the District Court did not rule on defendants’ motions to dismiss and to compel arbitration. On September 30, 2024, the parties entered into a written term sheet to resolve the matter, subject to the execution of a written settlement agreement and judicial approval of the settlement terms. On October 7, 2024, defendants filed a petition for permission to appeal the District Court’s remand order with the United States Court of Appeals for the Sixth Circuit, which the Sixth Circuit granted on January 17, 2025. On October 23, 2024, the District Court granted defendants’ motion to stay its remand order until the Sixth Circuit fully disposes of the petition for permission to appeal. On January 30, 2025, the Sixth Circuit granted the parties’ joint motion to stay the case until April 30, 2025. The Sixth Circuit has periodically extended the stay, most recently extending the stay on June 27, 2025. The parties signed a written settlement agreement on January 6, 2025, which is subject to court approval.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Fuqua Matter</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August 22, 2024, plaintiff Dianne Fuqua filed a complaint against SciPlay Corporation and SciPlay Games, LLC in the United States District Court for the Western District of Kentucky. The complaint asserts claims for alleged violations of Kentucky anti-gambling statutes and seeks unspecified money damages, including recovery of monies allegedly lost by Kentucky players of SciPlay’s online social casino games other than the plaintiff, the award of interests and costs, and unspecified other relief. On September 30, 2024, the parties entered into a written term sheet to resolve the matter, subject to the execution of a written settlement agreement and judicial approval of the settlement terms. On October 7, 2024, the Court granted Plaintiff’s unopposed motion to stay and stayed all deadlines for 30 days. The Court has periodically extended the stay, most recently extending the stay on July 17, 2025. The parties signed a written settlement agreement on January 6, 2025, which is subject to court approval.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Timothy Sornberger Matter</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9, 2025, plaintiffs Timothy Sornberger, Donovan Roberts, Matthew Sprinkle, Hope Murnaghan, Luke Whitney, Prince Imanifest Allah Beautiful, and Christopher Ebersole filed a putative multistate class action complaint against SciPlay Corporation and SciPlay Games, LLC in the Circuit Court of Franklin County, Alabama. The complaint asserts claims for alleged violations of anti-gambling statutes of the states of Alabama, Tennessee, Kentucky, Ohio, New Jersey, and Massachusetts. The plaintiffs seek to represent putative classes of individuals in their respective home states who spent money playing SciPlay’s online social casino games during various periods of time. The complaint seeks unspecified money damages, including recovery of monies allegedly lost by players of SciPlay’s online social casino games in the enumerated states, the award of interests and costs, attorneys’ fees and expenses and unspecified other relief. On January 17, 2025, the parties filed a notice of a proposed class settlement and a motion to stay the deadlines to answer or otherwise respond to the complaint. On January 17, 2025, the court stayed all deadlines in the action, pending the filing of a motion for preliminary approval of a class action settlement.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 (United States)</w:t>
      </w:r>
    </w:p>
    <w:p>
      <w:pPr>
        <w:spacing w:after="0" w:line="14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On February 26, 2024, Aristocrat Technologies, Inc. and Aristocrat Technologies Australia Pty Limited brought a civil action in the United States District Court for the District of Nevada against L&amp;W, LNW Gaming, Inc. and SciPlay Corporation. Plaintiffs assert claims for trade secret misappropriation, copyright infringement, trade dress infringement and unfair competition, and deceptive trade practices, relating to defendants’ </w:t>
      </w:r>
      <w:r>
        <w:rPr>
          <w:rFonts w:ascii="Times New Roman" w:cs="Times New Roman" w:eastAsia="Times New Roman" w:hAnsi="Times New Roman"/>
          <w:sz w:val="18"/>
          <w:szCs w:val="18"/>
          <w:i w:val="1"/>
          <w:iCs w:val="1"/>
          <w:color w:val="auto"/>
        </w:rPr>
        <w:t>DRAGON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TRAIN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JEWEL OF THE DRAGON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Plaintiffs’ operative complaint seeks preliminary and permanent injunctive relief, unspecified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the court granted in part and denied in part on June 24, 2024. On May 22, 2024, the plaintiffs filed a motion for a preliminary injunction, which the district court granted on September 23, 2024. On July 15, 2024, the plaintiffs filed a First Amended Complaint, which defendants answered on August 12, 2024. On November 21, 2024, the plaintiffs filed a motion to enforce the district court’s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1" w:name="page32"/>
    <w:bookmarkEnd w:id="31"/>
    <w:p>
      <w:pPr>
        <w:ind w:right="200"/>
        <w:spacing w:after="0" w:line="258" w:lineRule="auto"/>
        <w:rPr>
          <w:sz w:val="20"/>
          <w:szCs w:val="20"/>
          <w:color w:val="auto"/>
        </w:rPr>
      </w:pPr>
      <w:r>
        <w:rPr>
          <w:rFonts w:ascii="Times New Roman" w:cs="Times New Roman" w:eastAsia="Times New Roman" w:hAnsi="Times New Roman"/>
          <w:sz w:val="18"/>
          <w:szCs w:val="18"/>
          <w:color w:val="auto"/>
        </w:rPr>
        <w:t>preliminary injunction, which the court denied on January 3, 2025. On March 14, 2025, the plaintiffs filed a Second Amended Complaint, which defendants answered on April 11, 2025. On July 15, 2025, the plaintiffs filed a motion to extend the current pretrial deadlines, which is pending. On July 17, 2025, the parties jointly filed a proposed stipulated order regarding the court’s preliminary injunction entered in September 2024. We are currently unable to determine the likelihood of an outcome or estimate a range of reasonably possible losses, if any. We intend to defend against the claims in the lawsuit.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 (Australia)</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4, 2024, Aristocrat Technologies Australia Pty Limited brought a civil action in the Federal Court of Australia against L&amp;W and LNW Gaming ANZ Pty Ltd., among other defendants. Plaintiff asserts claims for breach of confidence, breach of contract (against other defendants) and inducing breach of contract, breaches of the Australian Consumer Law, and copyright infringement relating to defendants’ Dragon Train games, and breach of confidence relating to defendants’ Jewel of the Dragon games. Plaintiff’s complaint seeks preliminary and permanent injunctive relief, unspecified damages or an account of profits, and the award of costs. On October 4, 2024, the plaintiff filed a motion for an interlocutory injunction, which it amended on November 12, 2024. On February 3, 2025, L&amp;W and LNW Gaming ANZ Pty Ltd. filed a defense to plaintiff’s complaint. On February 6, 2025, the court denied plaintiff’s motion for interlocutory injunction. On May 26, 2025, the plaintiff filed an amended complaint, and on June 3, 2025, L&amp;W and LNW Gaming ANZ Pty Ltd. filed a defense to plaintiff’s amended complaint. On July 7, 2025, the court entered an order directing that evidence in the proceeding is to be heard by the court in two tranches, with final orders being made after a hearing on the second tranche of evidence. The trial relating to the first tranche of evidence is provisionally scheduled for June 29, 2026 through July 17, 2026. We are currently unable to determine the likelihood of an outcome or estimate a range of reasonably possible losses, if any. We intend to defend against the claims in the lawsuit.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Evolution Matter</w:t>
      </w:r>
    </w:p>
    <w:p>
      <w:pPr>
        <w:spacing w:after="0" w:line="16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w:t>
      </w:r>
      <w:r>
        <w:rPr>
          <w:rFonts w:ascii="Times New Roman" w:cs="Times New Roman" w:eastAsia="Times New Roman" w:hAnsi="Times New Roman"/>
          <w:sz w:val="18"/>
          <w:szCs w:val="18"/>
          <w:i w:val="1"/>
          <w:iCs w:val="1"/>
          <w:color w:val="auto"/>
        </w:rPr>
        <w:t>ROULETTEX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POWERX</w:t>
      </w:r>
      <w:r>
        <w:rPr>
          <w:rFonts w:ascii="Times New Roman" w:cs="Times New Roman" w:eastAsia="Times New Roman" w:hAnsi="Times New Roman"/>
          <w:sz w:val="18"/>
          <w:szCs w:val="18"/>
          <w:color w:val="auto"/>
        </w:rPr>
        <w:t>® games and defendants’ 88 Fortunes Blaze Live Roulette game.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which is pending. On April 10, 2025, Plaintiffs filed a First Amended Complaint and on May 15, 2025, defendants filed a motion to dismiss that First Amended Complaint, which is pending. Also on April 10, 2025, Plaintiffs filed a motion for leave to file a Second Amended Complaint, , which the court granted on June 30, 2025. Plaintiffs filed their Second Amended Complaint on June 30, 2025, and defendants’ responsive pleadings to that complaint are not yet due.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“Risk Factors” in this Quarterly Report on Form 10-Q and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2024 10-K.</w:t>
      </w:r>
    </w:p>
    <w:p>
      <w:pPr>
        <w:spacing w:after="0" w:line="9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2024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w:t>
      </w:r>
    </w:p>
    <w:p>
      <w:pPr>
        <w:spacing w:after="0" w:line="1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in our 2024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spacing w:after="0" w:line="1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over a four-year period based on achievement of certain revenue metrics. Grover is a leading provider of electronic pull-tabs currently distributed over five U.S. states: North Dakota, Ohio, Virginia, Kentucky and New Hampshire. The Grover operating segment was aggregated with our Gaming reportable business segment.</w:t>
      </w:r>
    </w:p>
    <w:p>
      <w:pPr>
        <w:spacing w:after="0" w:line="1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15, 2025, LNWI borrowed an aggregate principal amount of $800 million in term loans under its LNWI Term Loan A facility maturing in May 2028, the proceeds of which were used to complete the Grover acquisition and pay fees and expenses related thereto.</w:t>
      </w:r>
    </w:p>
    <w:p>
      <w:pPr>
        <w:spacing w:after="0" w:line="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delivered earnings growth and margin expansion across all three of our reportable business segments in the second quarter on continued strong game performance and disciplined investments, while advancing our robust content roadmap and cross-platform strategy. Consolidated revenue for the three months ended June 30, 2025 decreased slightly by 1% to $809 million, and it remained in line at $1.6 billion for the six months ended June 30, 2025, as compared to the prior year. The impact of macroeconomic uncertainty during the quarter led to more cautious purchasing behavior and delayed capital expenditure among some of our customers, which impacted the timing of game sales.</w:t>
      </w:r>
    </w:p>
    <w:p>
      <w:pPr>
        <w:spacing w:after="0" w:line="1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first half of 2025, we returned $266 million to shareholders through share repurchases. As of June 30, 2025, we have completed approximately 55% of the new $1.0 billion share repurchase plan authorized in June 2024. On July 31, 2025, our Board of Directors approved an additional aggregate amount of up to $500 million of shares of outstanding common stock as authorized to be repurchased under the share repurchase program.</w:t>
      </w:r>
    </w:p>
    <w:p>
      <w:pPr>
        <w:spacing w:after="0" w:line="10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Following a comprehensive review, on July 31, 2025, the L&amp;W Board of Directors has approved moving from its current dual listing on Nasdaq and ASX to a sole primary listing on the ASX. We expect to delist from the Nasdaq by end of November 2025, subject to receipt of necessary regulatory approvals and processes.</w:t>
      </w:r>
    </w:p>
    <w:p>
      <w:pPr>
        <w:spacing w:after="0" w:line="9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April of 2025, the U.S. government and many foreign countries imposed a series of new trade tariffs and other changes in trade policy. In addition, in response to these tariffs, other countries have implemented retaliatory tariffs and other measures impacting U.S. goods. These tariffs place additional duties on imports, and we currently source a portion of the raw materials and components for our Gaming business from China and across Asia. We have evaluated various mitigation strategies, including but not limited to, supplier diversification, adjusting supply chain operations, supplier pricing negotiations and cost control initiatives, among other measures. Over the past several quarters, through margin enhancement initiatives, we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ind w:right="40"/>
        <w:spacing w:after="0" w:line="256" w:lineRule="auto"/>
        <w:rPr>
          <w:sz w:val="20"/>
          <w:szCs w:val="20"/>
          <w:color w:val="auto"/>
        </w:rPr>
      </w:pPr>
      <w:r>
        <w:rPr>
          <w:rFonts w:ascii="Times New Roman" w:cs="Times New Roman" w:eastAsia="Times New Roman" w:hAnsi="Times New Roman"/>
          <w:sz w:val="18"/>
          <w:szCs w:val="18"/>
          <w:color w:val="auto"/>
        </w:rPr>
        <w:t>have also successfully executed meaningful operational efficiencies. While we expect recent tariffs and trade policies to continue to create incremental cost pressures in the near term, our realized and ongoing operational efficiency initiatives coupled with other measures are expected to significantly mitigate these effects. Additionally, as described above, overall macroeconomic uncertainty, including tariffs, is impacting some of our customers and their game replacement cycle as they are being more cautious on the timing of their capital expenditures. The full impact of the tariffs on our financial results will depend on several factors, including the duration and magnitude of the trade measures, our customer behavior and timing of capital expenditures, overall market conditions and our ability to successfully execute our mitigation strategies.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0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360" w:type="dxa"/>
            <w:vAlign w:val="bottom"/>
          </w:tcPr>
          <w:p>
            <w:pPr>
              <w:spacing w:after="0"/>
              <w:rPr>
                <w:sz w:val="16"/>
                <w:szCs w:val="16"/>
                <w:color w:val="auto"/>
              </w:rPr>
            </w:pPr>
          </w:p>
        </w:tc>
        <w:tc>
          <w:tcPr>
            <w:tcW w:w="1260" w:type="dxa"/>
            <w:vAlign w:val="bottom"/>
            <w:gridSpan w:val="2"/>
            <w:vMerge w:val="restart"/>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60" w:type="dxa"/>
            <w:vAlign w:val="bottom"/>
          </w:tcPr>
          <w:p>
            <w:pPr>
              <w:spacing w:after="0"/>
              <w:rPr>
                <w:sz w:val="16"/>
                <w:szCs w:val="16"/>
                <w:color w:val="auto"/>
              </w:rPr>
            </w:pPr>
          </w:p>
        </w:tc>
        <w:tc>
          <w:tcPr>
            <w:tcW w:w="1260" w:type="dxa"/>
            <w:vAlign w:val="bottom"/>
            <w:gridSpan w:val="2"/>
            <w:vMerge w:val="restart"/>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1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left="53"/>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2"/>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left="53"/>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2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Revenue by Reportable Business Segment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50" w:lineRule="exact"/>
        <w:rPr>
          <w:sz w:val="20"/>
          <w:szCs w:val="20"/>
          <w:color w:val="auto"/>
        </w:rPr>
      </w:pPr>
    </w:p>
    <w:p>
      <w:pPr>
        <w:ind w:left="1600"/>
        <w:spacing w:after="0"/>
        <w:tabs>
          <w:tab w:leader="none" w:pos="6260" w:val="left"/>
        </w:tabs>
        <w:rPr>
          <w:sz w:val="20"/>
          <w:szCs w:val="20"/>
          <w:color w:val="auto"/>
        </w:rPr>
      </w:pPr>
      <w:r>
        <w:rPr>
          <w:rFonts w:ascii="Times New Roman" w:cs="Times New Roman" w:eastAsia="Times New Roman" w:hAnsi="Times New Roman"/>
          <w:sz w:val="18"/>
          <w:szCs w:val="18"/>
          <w:b w:val="1"/>
          <w:bCs w:val="1"/>
          <w:color w:val="auto"/>
        </w:rPr>
        <w:t>Three Months Ended June 30, 2025 and 2024</w:t>
      </w:r>
      <w:r>
        <w:rPr>
          <w:sz w:val="20"/>
          <w:szCs w:val="20"/>
          <w:color w:val="auto"/>
        </w:rPr>
        <w:tab/>
      </w:r>
      <w:r>
        <w:rPr>
          <w:rFonts w:ascii="Times New Roman" w:cs="Times New Roman" w:eastAsia="Times New Roman" w:hAnsi="Times New Roman"/>
          <w:sz w:val="18"/>
          <w:szCs w:val="18"/>
          <w:b w:val="1"/>
          <w:bCs w:val="1"/>
          <w:color w:val="auto"/>
        </w:rPr>
        <w:t>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18688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215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Gaming revenue decreased 2% and increased 1%, for the three and six months ended June 30, 2025, respectively, as compared to the prior year periods. Both periods were primarily impacted by a decrease in Gaming machine sales and Gaming systems, partially offset by higher Gaming operations revenue, which benefited from $21 million in revenue from Grover for both the three and six months ended June 30, 2025, along with a $13 million and a $21 million, respectively, or 7% for both periods, increase supported by our diversified portfolio of high-performing game franchises.</w:t>
      </w:r>
    </w:p>
    <w:p>
      <w:pPr>
        <w:spacing w:after="0" w:line="112"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SciPlay revenue decreased 2% for both the three and six months ended June 30, 2025, as compared to the prior year periods, due to a decline in average monthly payers primarily attributable to </w:t>
      </w:r>
      <w:r>
        <w:rPr>
          <w:rFonts w:ascii="Times New Roman" w:cs="Times New Roman" w:eastAsia="Times New Roman" w:hAnsi="Times New Roman"/>
          <w:sz w:val="18"/>
          <w:szCs w:val="18"/>
          <w:i w:val="1"/>
          <w:iCs w:val="1"/>
          <w:color w:val="auto"/>
        </w:rPr>
        <w:t>JACKPOT PARTY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Casino, partially offset by an increase in average monthly revenue per paying user. Average revenue per daily active user grew 4% and 5% for the three and six months ended June 30, 2025, respectively, while average monthly revenue per paying user increased 10% and 6% for the three and six months ended June 30, 2025.</w:t>
      </w:r>
    </w:p>
    <w:p>
      <w:pPr>
        <w:spacing w:after="0" w:line="11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increases in iGaming revenue of 9% and 7% for the three and six months ended June 30, 2025, respectively, were driven primarily by continued momentum in the North American markets and expansion of our partner network.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360" w:type="dxa"/>
            <w:vAlign w:val="bottom"/>
          </w:tcPr>
          <w:p>
            <w:pPr>
              <w:spacing w:after="0"/>
              <w:rPr>
                <w:sz w:val="16"/>
                <w:szCs w:val="16"/>
                <w:color w:val="auto"/>
              </w:rPr>
            </w:pPr>
          </w:p>
        </w:tc>
        <w:tc>
          <w:tcPr>
            <w:tcW w:w="124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60" w:type="dxa"/>
            <w:vAlign w:val="bottom"/>
          </w:tcPr>
          <w:p>
            <w:pPr>
              <w:spacing w:after="0"/>
              <w:rPr>
                <w:sz w:val="16"/>
                <w:szCs w:val="16"/>
                <w:color w:val="auto"/>
              </w:rPr>
            </w:pPr>
          </w:p>
        </w:tc>
        <w:tc>
          <w:tcPr>
            <w:tcW w:w="1240" w:type="dxa"/>
            <w:vAlign w:val="bottom"/>
            <w:gridSpan w:val="2"/>
            <w:vMerge w:val="restart"/>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6"/>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5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left="72"/>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3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center"/>
              <w:ind w:left="112"/>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2"/>
                <w:szCs w:val="22"/>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2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 of revenue for the three and six months ended June 30, 2025 decreased primarily as a result of lower cost of products on lower revenue.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6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SG&amp;A decreased $12 million and $13 million for the three and six months ended June 30, 2025, respectively, as compared to the prior year periods. The change was primarily driven by lower bad debt expense of $8 million and $10 million, respectively, as a result of certain recoveries, and lower salaries and benefits of $4 million and $1 million,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4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D&amp;A for the three and six months ended June 30, 2025 increased primarily due to depreciation related to Gaming operations installed base investments and growth as well as D&amp;A associated with assets acquired from the Grover acquisition.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6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decrease in restructuring and other for the three and six months ended June 30, 2025 was primarily due to a $32 million charge related to certain legal matters in the three months ended June 30, 2024, partially offset by an increase in costs related to strategic review and related transactions, including legal and professional service fees associated with the acquisition of Grover of $9 million and $14 million for the three and six months ended June 30, 2025, respectively, and $2 million and $9 million, respectively, in iGaming charges, primarily related to the discontinuation of our iGaming Live Casino operations.</w:t>
      </w:r>
    </w:p>
    <w:p>
      <w:pPr>
        <w:sectPr>
          <w:pgSz w:w="11900" w:h="16838" w:orient="portrait"/>
          <w:cols w:equalWidth="0" w:num="1">
            <w:col w:w="11220"/>
          </w:cols>
          <w:pgMar w:left="320" w:top="889" w:right="359" w:bottom="1440" w:gutter="0" w:footer="0" w:header="0"/>
        </w:sectPr>
      </w:pP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30,</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3"/>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840" w:type="dxa"/>
            <w:vAlign w:val="bottom"/>
            <w:tcBorders>
              <w:bottom w:val="single" w:sz="8" w:color="auto"/>
            </w:tcBorders>
          </w:tcPr>
          <w:p>
            <w:pPr>
              <w:spacing w:after="0" w:line="139" w:lineRule="exact"/>
              <w:rPr>
                <w:sz w:val="20"/>
                <w:szCs w:val="20"/>
                <w:color w:val="auto"/>
              </w:rPr>
            </w:pPr>
            <w:r>
              <w:rPr>
                <w:rFonts w:ascii="Times New Roman" w:cs="Times New Roman" w:eastAsia="Times New Roman" w:hAnsi="Times New Roman"/>
                <w:sz w:val="16"/>
                <w:szCs w:val="16"/>
                <w:b w:val="1"/>
                <w:bCs w:val="1"/>
                <w:color w:val="auto"/>
                <w:w w:val="99"/>
              </w:rPr>
              <w:t>(in millions)</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0" w:type="dxa"/>
            <w:vAlign w:val="bottom"/>
            <w:gridSpan w:val="2"/>
            <w:vMerge w:val="continue"/>
          </w:tcPr>
          <w:p>
            <w:pPr>
              <w:spacing w:after="0"/>
              <w:rPr>
                <w:sz w:val="14"/>
                <w:szCs w:val="14"/>
                <w:color w:val="auto"/>
              </w:rPr>
            </w:pPr>
          </w:p>
        </w:tc>
        <w:tc>
          <w:tcPr>
            <w:tcW w:w="220" w:type="dxa"/>
            <w:vAlign w:val="bottom"/>
          </w:tcPr>
          <w:p>
            <w:pPr>
              <w:jc w:val="right"/>
              <w:ind w:right="35"/>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4"/>
                <w:szCs w:val="14"/>
                <w:color w:val="auto"/>
              </w:rPr>
            </w:pPr>
          </w:p>
        </w:tc>
        <w:tc>
          <w:tcPr>
            <w:tcW w:w="20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4"/>
                <w:szCs w:val="14"/>
                <w:color w:val="auto"/>
              </w:rPr>
            </w:pPr>
          </w:p>
        </w:tc>
        <w:tc>
          <w:tcPr>
            <w:tcW w:w="220" w:type="dxa"/>
            <w:vAlign w:val="bottom"/>
          </w:tcPr>
          <w:p>
            <w:pPr>
              <w:jc w:val="right"/>
              <w:ind w:right="15"/>
              <w:spacing w:after="0" w:line="16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4"/>
                <w:szCs w:val="14"/>
                <w:color w:val="auto"/>
              </w:rPr>
            </w:pPr>
          </w:p>
        </w:tc>
        <w:tc>
          <w:tcPr>
            <w:tcW w:w="20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1"/>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265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our income tax expense, see Note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Factors Affecting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31629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2025 vs. 2024</w:t>
      </w:r>
    </w:p>
    <w:p>
      <w:pPr>
        <w:spacing w:after="0" w:line="4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change in other (expense) income, net was primarily due to the impact of changes in foreign currency exchange rates.</w:t>
      </w:r>
    </w:p>
    <w:p>
      <w:pPr>
        <w:spacing w:after="0" w:line="29"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16"/>
          <w:szCs w:val="16"/>
          <w:color w:val="auto"/>
        </w:rPr>
        <w:t>The increase in income tax expense was primarily due to the increase in worldwide income.</w:t>
      </w:r>
    </w:p>
    <w:p>
      <w:pPr>
        <w:spacing w:after="0" w:line="354" w:lineRule="exact"/>
        <w:rPr>
          <w:sz w:val="20"/>
          <w:szCs w:val="20"/>
          <w:color w:val="auto"/>
        </w:rPr>
      </w:pPr>
    </w:p>
    <w:p>
      <w:pPr>
        <w:sectPr>
          <w:pgSz w:w="11900" w:h="16838" w:orient="portrait"/>
          <w:cols w:equalWidth="0" w:num="2">
            <w:col w:w="6160" w:space="120"/>
            <w:col w:w="4940"/>
          </w:cols>
          <w:pgMar w:left="320" w:top="889" w:right="3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6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35" w:name="page36"/>
    <w:bookmarkEnd w:id="35"/>
    <w:p>
      <w:pPr>
        <w:ind w:right="620"/>
        <w:spacing w:after="0" w:line="282" w:lineRule="auto"/>
        <w:rPr>
          <w:sz w:val="20"/>
          <w:szCs w:val="20"/>
          <w:color w:val="auto"/>
        </w:rPr>
      </w:pPr>
      <w:r>
        <w:rPr>
          <w:rFonts w:ascii="Times New Roman" w:cs="Times New Roman" w:eastAsia="Times New Roman" w:hAnsi="Times New Roman"/>
          <w:sz w:val="18"/>
          <w:szCs w:val="18"/>
          <w:color w:val="auto"/>
        </w:rPr>
        <w:t>exchange rate fluctuations represents the difference between current rates and prior-period rates applied to current activity. Our exposure to foreign currency volatility on revenue is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00" w:type="dxa"/>
            <w:vAlign w:val="bottom"/>
            <w:gridSpan w:val="9"/>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8"/>
          </w:tcPr>
          <w:p>
            <w:pPr>
              <w:jc w:val="right"/>
              <w:ind w:right="102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74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7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30"/>
        </w:trPr>
        <w:tc>
          <w:tcPr>
            <w:tcW w:w="3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120" w:type="dxa"/>
            <w:vAlign w:val="bottom"/>
          </w:tcPr>
          <w:p>
            <w:pPr>
              <w:spacing w:after="0"/>
              <w:rPr>
                <w:sz w:val="11"/>
                <w:szCs w:val="11"/>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1"/>
                <w:szCs w:val="11"/>
                <w:color w:val="auto"/>
              </w:rPr>
            </w:pPr>
          </w:p>
        </w:tc>
        <w:tc>
          <w:tcPr>
            <w:tcW w:w="1140" w:type="dxa"/>
            <w:vAlign w:val="bottom"/>
            <w:gridSpan w:val="2"/>
          </w:tcPr>
          <w:p>
            <w:pPr>
              <w:jc w:val="right"/>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 Consolidated</w:t>
            </w:r>
          </w:p>
        </w:tc>
        <w:tc>
          <w:tcPr>
            <w:tcW w:w="0" w:type="dxa"/>
            <w:vAlign w:val="bottom"/>
          </w:tcPr>
          <w:p>
            <w:pPr>
              <w:spacing w:after="0"/>
              <w:rPr>
                <w:sz w:val="1"/>
                <w:szCs w:val="1"/>
                <w:color w:val="auto"/>
              </w:rPr>
            </w:pPr>
          </w:p>
        </w:tc>
      </w:tr>
      <w:tr>
        <w:trPr>
          <w:trHeight w:val="148"/>
        </w:trPr>
        <w:tc>
          <w:tcPr>
            <w:tcW w:w="3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4 %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3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3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REPORTABLE BUSINESS SEGMENT RESULTS </w:t>
      </w:r>
      <w:r>
        <w:rPr>
          <w:rFonts w:ascii="Times New Roman" w:cs="Times New Roman" w:eastAsia="Times New Roman" w:hAnsi="Times New Roman"/>
          <w:sz w:val="18"/>
          <w:szCs w:val="18"/>
          <w:b w:val="1"/>
          <w:bCs w:val="1"/>
          <w:i w:val="1"/>
          <w:iCs w:val="1"/>
          <w:color w:val="auto"/>
        </w:rPr>
        <w:t>(for the three and six months ended June 30, 2025 compared to the three and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June 30, 2024)</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4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spacing w:after="0" w:line="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11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Grover revenues are generated by providing charitable gaming entities with access to proprietary electronic pull tabs equipment, content and related offerings that allow charities to maximize their funding and for which Grover is compensated based upon a percentage of gross gaming revenue. Grover currently operates in five states (as described above) with over 11,000 active units and 1,500 locations and is well positioned to capitalize on future expansion and legalization of charitable gaming.</w:t>
      </w:r>
    </w:p>
    <w:p>
      <w:pPr>
        <w:spacing w:after="0" w:line="97"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the Gaming primary business activities summary included within “Business Segment Results” under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of our 2024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Gaming revenue for the three months ended June 30, 2025 decreased by 2%, primarily driven by a decrease in Gaming machine sales of 16% and in Systems revenue of 11%. The impact of macroeconomic uncertainty during the quarter led to more cautious purchasing behavior and delayed capital expenditure among some of our customers, which impacted the timing of game sales. This was partially offset by growth in Gaming operations revenue of 19%, which benefited from $21 million in Grover revenue contributions along with a $13 million, or 7%, increase supported by our diversified portfolio of high-performing game franchises. Gaming revenue for the six months ended June 30, 2025 increased slightly by 1%, as compared to the prior year period. The change in Gaming revenue for the three and six months ended June 30, 2025 also benefited from Table products growth of 2% and 5%, respectively.</w:t>
      </w:r>
    </w:p>
    <w:p>
      <w:pPr>
        <w:spacing w:after="0" w:line="104" w:lineRule="exact"/>
        <w:rPr>
          <w:sz w:val="20"/>
          <w:szCs w:val="20"/>
          <w:color w:val="auto"/>
        </w:rPr>
      </w:pPr>
    </w:p>
    <w:p>
      <w:pPr>
        <w:ind w:right="100" w:firstLine="648"/>
        <w:spacing w:after="0" w:line="223" w:lineRule="auto"/>
        <w:rPr>
          <w:sz w:val="20"/>
          <w:szCs w:val="20"/>
          <w:color w:val="auto"/>
        </w:rPr>
      </w:pPr>
      <w:r>
        <w:rPr>
          <w:rFonts w:ascii="Times New Roman" w:cs="Times New Roman" w:eastAsia="Times New Roman" w:hAnsi="Times New Roman"/>
          <w:sz w:val="18"/>
          <w:szCs w:val="18"/>
          <w:color w:val="auto"/>
        </w:rPr>
        <w:t xml:space="preserve">Our growth is driven by the continued strength and success of our diversified portfolio of successful game franchises, including </w:t>
      </w:r>
      <w:r>
        <w:rPr>
          <w:rFonts w:ascii="Times New Roman" w:cs="Times New Roman" w:eastAsia="Times New Roman" w:hAnsi="Times New Roman"/>
          <w:sz w:val="18"/>
          <w:szCs w:val="18"/>
          <w:i w:val="1"/>
          <w:iCs w:val="1"/>
          <w:color w:val="auto"/>
        </w:rPr>
        <w:t>KONG: SKULL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ISLAND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HUFF N’ PUFF</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ULTIMATE FIRE LINK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INVADERS!</w:t>
      </w:r>
      <w:r>
        <w:rPr>
          <w:rFonts w:ascii="Times New Roman" w:cs="Times New Roman" w:eastAsia="Times New Roman" w:hAnsi="Times New Roman"/>
          <w:sz w:val="18"/>
          <w:szCs w:val="18"/>
          <w:i w:val="1"/>
          <w:iCs w:val="1"/>
          <w:color w:val="auto"/>
        </w:rPr>
        <w:t xml:space="preserve"> ATTACK FROM THE PLANET MOOLAH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FRANKENSTEIN</w:t>
      </w:r>
      <w:r>
        <w:rPr>
          <w:rFonts w:ascii="Times New Roman" w:cs="Times New Roman" w:eastAsia="Times New Roman" w:hAnsi="Times New Roman"/>
          <w:sz w:val="18"/>
          <w:szCs w:val="18"/>
          <w:color w:val="auto"/>
        </w:rPr>
        <w:t>, our hit Asian-themed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games </w:t>
      </w:r>
      <w:r>
        <w:rPr>
          <w:rFonts w:ascii="Times New Roman" w:cs="Times New Roman" w:eastAsia="Times New Roman" w:hAnsi="Times New Roman"/>
          <w:sz w:val="18"/>
          <w:szCs w:val="18"/>
          <w:i w:val="1"/>
          <w:iCs w:val="1"/>
          <w:color w:val="auto"/>
        </w:rPr>
        <w:t>88 FORTUNES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DANCING DRUMS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stepper favorites </w:t>
      </w:r>
      <w:r>
        <w:rPr>
          <w:rFonts w:ascii="Times New Roman" w:cs="Times New Roman" w:eastAsia="Times New Roman" w:hAnsi="Times New Roman"/>
          <w:sz w:val="18"/>
          <w:szCs w:val="18"/>
          <w:i w:val="1"/>
          <w:iCs w:val="1"/>
          <w:color w:val="auto"/>
        </w:rPr>
        <w:t>QUICK HIT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BLAZING 777</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the success of our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UPRIGHT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HORIZON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cabinets. We are actively monitoring any impact of recent tariffs, inflationary pressures, supply chain disruptions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macroeconomic uncertainty that may impact our operations and financial results. See the “Business Overview” section above and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for information regarding recent trade tariffs which may have a significant impact on our Gaming business.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27863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612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2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40" w:type="dxa"/>
            <w:vAlign w:val="bottom"/>
          </w:tcPr>
          <w:p>
            <w:pPr>
              <w:spacing w:after="0"/>
              <w:rPr>
                <w:sz w:val="16"/>
                <w:szCs w:val="16"/>
                <w:color w:val="auto"/>
              </w:rPr>
            </w:pPr>
          </w:p>
        </w:tc>
        <w:tc>
          <w:tcPr>
            <w:tcW w:w="1300" w:type="dxa"/>
            <w:vAlign w:val="bottom"/>
            <w:gridSpan w:val="2"/>
            <w:vMerge w:val="restart"/>
          </w:tcPr>
          <w:p>
            <w:pPr>
              <w:jc w:val="center"/>
              <w:ind w:left="191"/>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6"/>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3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left="211"/>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18"/>
                <w:szCs w:val="18"/>
                <w:color w:val="auto"/>
              </w:rPr>
              <w:t>Gaming operations</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F/X impact on revenue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9"/>
                <w:szCs w:val="19"/>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U.S. and Canada units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ind w:left="40"/>
        <w:spacing w:after="0" w:line="231" w:lineRule="auto"/>
        <w:rPr>
          <w:sz w:val="20"/>
          <w:szCs w:val="20"/>
          <w:color w:val="auto"/>
        </w:rPr>
      </w:pPr>
      <w:r>
        <w:rPr>
          <w:rFonts w:ascii="Times New Roman" w:cs="Times New Roman" w:eastAsia="Times New Roman" w:hAnsi="Times New Roman"/>
          <w:sz w:val="14"/>
          <w:szCs w:val="14"/>
          <w:color w:val="auto"/>
        </w:rPr>
        <w:t>nm = not meaningful.</w:t>
      </w:r>
    </w:p>
    <w:p>
      <w:pPr>
        <w:ind w:left="240" w:hanging="201"/>
        <w:spacing w:after="0" w:line="221" w:lineRule="auto"/>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Grover active devices.</w:t>
      </w:r>
    </w:p>
    <w:p>
      <w:pPr>
        <w:ind w:left="240" w:hanging="201"/>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ectPr>
          <w:pgSz w:w="11900" w:h="16838" w:orient="portrait"/>
          <w:cols w:equalWidth="0" w:num="1">
            <w:col w:w="11220"/>
          </w:cols>
          <w:pgMar w:left="320" w:top="8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Gaming operations revenue growth was driven by a contribution of $21 million in revenue from Grover following the May 2025 acquisition as well as a $13 million, or 7%, increase driven by strong game performance of hit franchises, including our premium games. Gaming operations for U.S. and Canada (excluding Grover) had a 2,780-unit increase in installed base from the prior year period end, while Grover had an 11,026-unit active installed base as of June 30, 2025. Gaming operations (including Grover) had a decrease in average daily revenue per unit of $3.01 and $1.69 for the three and six months ended June 30, 2025, respectively, as growth related to our existing U.S. and Canada units was offset by inclusion of lower-yielding Grover units. Average daily revenue per unit for International units increased by $1.38 and $1.11 for the three and six months ended June 30, 2025, respectively. International ending installed base units decreased by 2,471 units from June 30, 2024 to June 30, 2025, primarily due to the expected closure of certain LBOs in the U.K., removals in Greece and the reduction of certain low-yielding units in Latin America.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5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Gaming machine sales revenue decreased primarily due to macroeconomic uncertainty impacting the timing of game sales due to more cautious purchasing behavior and delayed capital expenditure among some of our customers.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9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20" w:type="dxa"/>
            <w:vAlign w:val="bottom"/>
            <w:gridSpan w:val="2"/>
            <w:vMerge w:val="restart"/>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 June</w:t>
            </w:r>
          </w:p>
        </w:tc>
        <w:tc>
          <w:tcPr>
            <w:tcW w:w="12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1240" w:type="dxa"/>
            <w:vAlign w:val="bottom"/>
            <w:tcBorders>
              <w:bottom w:val="single" w:sz="8" w:color="auto"/>
            </w:tcBorders>
            <w:gridSpan w:val="3"/>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520" w:type="dxa"/>
            <w:vAlign w:val="bottom"/>
            <w:gridSpan w:val="2"/>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700" w:type="dxa"/>
            <w:vAlign w:val="bottom"/>
            <w:gridSpan w:val="3"/>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Pr>
          <w:p>
            <w:pPr>
              <w:spacing w:after="0"/>
              <w:rPr>
                <w:sz w:val="19"/>
                <w:szCs w:val="19"/>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868</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Pr>
          <w:p>
            <w:pPr>
              <w:spacing w:after="0"/>
              <w:rPr>
                <w:sz w:val="19"/>
                <w:szCs w:val="19"/>
                <w:color w:val="auto"/>
              </w:rPr>
            </w:pPr>
          </w:p>
        </w:tc>
        <w:tc>
          <w:tcPr>
            <w:tcW w:w="8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70"/>
        </w:trPr>
        <w:tc>
          <w:tcPr>
            <w:tcW w:w="34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6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3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and six months ended June 30, 2025 increased by $2 million and $16 million, respectively, as compared to the corresponding prior year periods, primarily due to $15 million and $22 million, respectively, in higher D&amp;A, $10 million of which is related to Grover for both periods, and the remainder of which is related to increased Gaming operations investment, coupled with $7 million and $19 million, respectively, in higher salaries and benefits (including stock-based compensation), partially offset by lower cost of revenue.</w:t>
      </w:r>
    </w:p>
    <w:p>
      <w:pPr>
        <w:spacing w:after="0" w:line="11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AEBITDA increased by $8 million and $30 million for the three and six months ended June 30, 2025, respectively, which is primarily related to margin expansion and a contribution from Grover since the acquisition closed in May 2025. AEBITDA as a percentage of revenue (“AEBITDA margin”) increased to 53% and 52% for the three and six months ended June 30, 2025, respectively, as compared to 50% for both corresponding prior year periods, driven by a more favorable revenue mix, margin enhancements initiatives and the impact of our incentive compensation payout structure.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gameplay that requires viewing of periodic in-game advertisements.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QUICK HIT® Slots, GOLD FISH® Casino, 88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FORTUNES® Slots,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 strategy of expanding into the online games market.</w:t>
      </w:r>
    </w:p>
    <w:p>
      <w:pPr>
        <w:spacing w:after="0" w:line="9"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 xml:space="preserve">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 w:cs="Times New Roman" w:eastAsia="Times New Roman" w:hAnsi="Times New Roman"/>
          <w:sz w:val="18"/>
          <w:szCs w:val="18"/>
          <w:i w:val="1"/>
          <w:iCs w:val="1"/>
          <w:color w:val="auto"/>
        </w:rPr>
        <w:t xml:space="preserve">APPLE, GOOGLE, FACEBOOK, AMAZON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MICROSOFT</w:t>
      </w:r>
      <w:r>
        <w:rPr>
          <w:rFonts w:ascii="Times New Roman" w:cs="Times New Roman" w:eastAsia="Times New Roman" w:hAnsi="Times New Roman"/>
          <w:sz w:val="18"/>
          <w:szCs w:val="18"/>
          <w:color w:val="auto"/>
        </w:rPr>
        <w:t>. SciPlay launched a proprietary direct-to-consumer in-app purchase platform during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goals of improving players’ experience and reducing costs of revenue given the lower payment processing fees and other related expenses for in-app purchases made through the proprietary platform, as compared to the platform fee charged by third-party platforms. Revenue generated via the proprietary direct-to-consumer platform continues to increase and represented approximately 16% of total SciPlay revenue for the first half of 2025.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SciPlay continues to deliver steady results and quality payer engagement and monetization. Revenue decreased slightly by 2% for the three and six months ended June 30, 2025, which was primarily due to a decline in average monthly payers, primarily attributable to Jackpot Party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Casino, partially offset by an increase in average monthly revenue per paying user. Additionally, the overall social casino industry is experiencing pressures from sweepstakes operators. SciPlay continues to deploy strategic game updates, utilize enhanced analytics, pursue international expansion and benefit from the proprietary direct-to-consumer platform.</w:t>
      </w:r>
    </w:p>
    <w:p>
      <w:pPr>
        <w:spacing w:after="0" w:line="1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91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(1) Other primarily represents advertising revenue, which was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240" w:type="dxa"/>
            <w:vAlign w:val="bottom"/>
          </w:tcPr>
          <w:p>
            <w:pPr>
              <w:spacing w:after="0"/>
              <w:rPr>
                <w:sz w:val="16"/>
                <w:szCs w:val="16"/>
                <w:color w:val="auto"/>
              </w:rPr>
            </w:pPr>
          </w:p>
        </w:tc>
        <w:tc>
          <w:tcPr>
            <w:tcW w:w="1280" w:type="dxa"/>
            <w:vAlign w:val="bottom"/>
            <w:gridSpan w:val="2"/>
            <w:vMerge w:val="restart"/>
          </w:tcPr>
          <w:p>
            <w:pPr>
              <w:jc w:val="center"/>
              <w:ind w:left="1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Pr>
          <w:p>
            <w:pPr>
              <w:spacing w:after="0"/>
              <w:rPr>
                <w:sz w:val="16"/>
                <w:szCs w:val="16"/>
                <w:color w:val="auto"/>
              </w:rPr>
            </w:pPr>
          </w:p>
        </w:tc>
        <w:tc>
          <w:tcPr>
            <w:tcW w:w="126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500" w:type="dxa"/>
            <w:vAlign w:val="bottom"/>
            <w:gridSpan w:val="3"/>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left="192"/>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72"/>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7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left="172"/>
              <w:spacing w:after="0" w:line="173"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Third-party platforms and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25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3"/>
        </w:trPr>
        <w:tc>
          <w:tcPr>
            <w:tcW w:w="2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KPIs: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40" w:type="dxa"/>
            <w:vAlign w:val="bottom"/>
            <w:tcBorders>
              <w:top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w w:val="95"/>
              </w:rPr>
              <w:t>Average MAU</w:t>
            </w:r>
            <w:r>
              <w:rPr>
                <w:rFonts w:ascii="Times New Roman" w:cs="Times New Roman" w:eastAsia="Times New Roman" w:hAnsi="Times New Roman"/>
                <w:sz w:val="23"/>
                <w:szCs w:val="23"/>
                <w:color w:val="auto"/>
                <w:w w:val="95"/>
                <w:vertAlign w:val="superscript"/>
              </w:rPr>
              <w:t>(2)</w:t>
            </w:r>
          </w:p>
        </w:tc>
        <w:tc>
          <w:tcPr>
            <w:tcW w:w="116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50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5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5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5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w w:val="99"/>
              </w:rPr>
              <w:t>Average MPUs</w:t>
            </w:r>
            <w:r>
              <w:rPr>
                <w:rFonts w:ascii="Times New Roman" w:cs="Times New Roman" w:eastAsia="Times New Roman" w:hAnsi="Times New Roman"/>
                <w:sz w:val="23"/>
                <w:szCs w:val="23"/>
                <w:color w:val="auto"/>
                <w:w w:val="99"/>
                <w:vertAlign w:val="superscript"/>
              </w:rPr>
              <w:t>(5)</w:t>
            </w:r>
            <w:r>
              <w:rPr>
                <w:rFonts w:ascii="Times New Roman" w:cs="Times New Roman" w:eastAsia="Times New Roman" w:hAnsi="Times New Roman"/>
                <w:sz w:val="18"/>
                <w:szCs w:val="18"/>
                <w:color w:val="auto"/>
                <w:w w:val="99"/>
              </w:rPr>
              <w:t xml:space="preserve"> (in thousands)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5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12.05</w:t>
            </w: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122.63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115.42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7.21</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250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(0.7)pp</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(0.3)pp</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ind w:left="40"/>
        <w:spacing w:after="0" w:line="231" w:lineRule="auto"/>
        <w:rPr>
          <w:sz w:val="20"/>
          <w:szCs w:val="20"/>
          <w:color w:val="auto"/>
        </w:rPr>
      </w:pPr>
      <w:r>
        <w:rPr>
          <w:rFonts w:ascii="Times New Roman" w:cs="Times New Roman" w:eastAsia="Times New Roman" w:hAnsi="Times New Roman"/>
          <w:sz w:val="14"/>
          <w:szCs w:val="14"/>
          <w:color w:val="auto"/>
        </w:rPr>
        <w:t>nm = not meaningful.</w:t>
      </w:r>
    </w:p>
    <w:p>
      <w:pPr>
        <w:ind w:left="40"/>
        <w:spacing w:after="0" w:line="201" w:lineRule="auto"/>
        <w:rPr>
          <w:sz w:val="20"/>
          <w:szCs w:val="20"/>
          <w:color w:val="auto"/>
        </w:rPr>
      </w:pPr>
      <w:r>
        <w:rPr>
          <w:rFonts w:ascii="Times New Roman" w:cs="Times New Roman" w:eastAsia="Times New Roman" w:hAnsi="Times New Roman"/>
          <w:sz w:val="14"/>
          <w:szCs w:val="14"/>
          <w:color w:val="auto"/>
        </w:rPr>
        <w:t>pp = percentage points.</w:t>
      </w:r>
    </w:p>
    <w:p>
      <w:pPr>
        <w:ind w:left="240" w:hanging="194"/>
        <w:spacing w:after="0" w:line="222"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primarily represents advertising revenue, which was not material for the periods presented.</w:t>
      </w:r>
    </w:p>
    <w:p>
      <w:pPr>
        <w:ind w:left="40" w:right="120" w:firstLine="6"/>
        <w:spacing w:after="0" w:line="211" w:lineRule="auto"/>
        <w:tabs>
          <w:tab w:leader="none" w:pos="2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40" w:right="160" w:firstLine="6"/>
        <w:spacing w:after="0" w:line="221" w:lineRule="auto"/>
        <w:tabs>
          <w:tab w:leader="none" w:pos="2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40" w:hanging="194"/>
        <w:spacing w:after="0" w:line="20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40" w:hanging="194"/>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40" w:hanging="194"/>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40" w:hanging="194"/>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3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the three and six months ended June 30, 2025, revenue decreased by 2% primarily due to a decline in average monthly payers, primarily attributable to </w:t>
      </w:r>
      <w:r>
        <w:rPr>
          <w:rFonts w:ascii="Times New Roman" w:cs="Times New Roman" w:eastAsia="Times New Roman" w:hAnsi="Times New Roman"/>
          <w:sz w:val="18"/>
          <w:szCs w:val="18"/>
          <w:i w:val="1"/>
          <w:iCs w:val="1"/>
          <w:color w:val="auto"/>
        </w:rPr>
        <w:t>Jackpot Party</w:t>
      </w:r>
      <w:r>
        <w:rPr>
          <w:rFonts w:ascii="Times New Roman" w:cs="Times New Roman" w:eastAsia="Times New Roman" w:hAnsi="Times New Roman"/>
          <w:sz w:val="18"/>
          <w:szCs w:val="18"/>
          <w:color w:val="auto"/>
        </w:rPr>
        <w:t xml:space="preserve"> Casino and partially offset by an increase in average monthly revenue per paying user.</w:t>
      </w:r>
    </w:p>
    <w:p>
      <w:pPr>
        <w:spacing w:after="0" w:line="9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Average MAU and average MPU for the three and six months ended June 30, 2025 decreased due to the turnover in users. ARPDAU increased as a function of higher player monetization with a slight decrease in average DAU. AMRPPU increased, despite payer conversion decreasing slightly, as SciPlay continues to improve content and features, resulting in steady paying player interaction.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decreased slightly, but they remained near 10% due to consistent payer interaction with the games as a result of SciPlay’s focus on introducing new content, features and live events in games.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decrease in operating expenses for the three and six months ended June 30, 2025, as compared to prior year period, was primarily driven by lower salaries and benefits (including stock-based compensation) and lower cost of revenue due to higher margins on our direct-to-consumer platform revenue.</w:t>
      </w:r>
    </w:p>
    <w:p>
      <w:pPr>
        <w:spacing w:after="0" w:line="108"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AEBITDA for the three and six months ended June 30, 2025 increased by $4 million and $6 million, respectively, and AEBITDA margin increased by 3 percentage points to 37% and 2 percentage points to 34%, respectively, primarily due revenue generated via our proprietary direct-to-consumer platform, which generates higher margins.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6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operators full control over all areas of digital gaming operations. Generally, we host the play of our game content which is integrated with the online casino operators’ websites.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North American and International markets, including emerging markets, such as Brazil, by leveraging our industry leading platforms, content and solutions, as well as investing in our ability to scale our own original U.S. and international land-based content offering.</w:t>
      </w:r>
    </w:p>
    <w:p>
      <w:pPr>
        <w:spacing w:after="0" w:line="9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Following the decision made in the first quarter of 2025, the Company has continued to execute on the discontinuation of its Live Casino operations. This reflects our commitment to reallocate resources to maximize our return on investments, and we do not expect that this decision will have a material impact on our iGaming business’s long-term growth prospects.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82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501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increases in iGaming revenue for the three and six month periods ended June 30, 2025 were 9% and 7%, respectively, as compared to the prior year periods, primarily driven by continuing momentum in the North American market and expansion of our partner network. Wagers processed through our Open Gaming System for both current year periods increased to $27 billion and $52 billion, respectively.</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increased slightly for both the three- and six-month periods ended June 30, 2025, in correlation with the increase in revenue and primarily due to $2 million and $9 million in restructuring costs, largely related to the discontinuation of our Live Casino operations, partially offset by decreases in intangible asset amortization expense. AEBITDA increased 17% and 15% for the three and six months ended June 30, 2025, respectively, and AEBITDA margin increased to 35% for both the three and six months ended June 30, 2025, compared to 32% for both of the prior year periods, primarily due to lower operating expenses (excluding cost of revenue and R&amp;O).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0"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policies regarding our critical accounting estimates, see “Critical Accounting Estimates”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2024 10-K.</w:t>
      </w:r>
    </w:p>
    <w:p>
      <w:pPr>
        <w:spacing w:after="0" w:line="79" w:lineRule="exact"/>
        <w:rPr>
          <w:sz w:val="20"/>
          <w:szCs w:val="20"/>
          <w:color w:val="auto"/>
        </w:rPr>
      </w:pPr>
    </w:p>
    <w:p>
      <w:pPr>
        <w:jc w:val="both"/>
        <w:ind w:right="8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the application of those policies to our condensed consolidated financial statements from those presented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2024 10-K, except as set forth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and Goodwill Update</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estimated the economic lives of certain acquired assets in connection with the Grover acquisition, and these lives are used to calculate D&amp;A expense. If our estimates of the economic lives change, D&amp;A expense could be accelerated or slowed. For example, if the Grover intangible assets useful lives were extended by two years, the total annual depreciation and amortization would decrease by approximately $7 million, and if the useful lives were shortened by two years, the total annual depreciation and amortization would increase by approximately $14 million. See Note 1 for additional details.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1" w:name="page42"/>
    <w:bookmarkEnd w:id="41"/>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After the acquisition of Grover, we have now determined that we have seven reporting units: Gaming, Grover, U.K. Gaming, Casino Management Systems, Table Products, SciPlay and iGaming. There have been no other changes to our goodwill impairment testing policy. We test goodwill for impairment at the reporting unit level (operating segment or one level below an operating segment) on October 1 or sooner if an event occurs or circumstances change that would more likely than not reduce the fair value of a reporting unit below its carrying value. No such events or circumstances have occurred as of June 30, 2025, or through the date of this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our principal sources of liquidity, other than cash flows provided by operating activities, were cash and cash equivalents as well as amounts available under the LNWI Revolver.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702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5"/>
                <w:szCs w:val="15"/>
                <w:color w:val="auto"/>
              </w:rPr>
            </w:pPr>
          </w:p>
        </w:tc>
        <w:tc>
          <w:tcPr>
            <w:tcW w:w="1820" w:type="dxa"/>
            <w:vAlign w:val="bottom"/>
            <w:gridSpan w:val="2"/>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rPr>
              <w:t>June 30, 2025</w:t>
            </w:r>
          </w:p>
        </w:tc>
        <w:tc>
          <w:tcPr>
            <w:tcW w:w="240" w:type="dxa"/>
            <w:vAlign w:val="bottom"/>
          </w:tcPr>
          <w:p>
            <w:pPr>
              <w:spacing w:after="0"/>
              <w:rPr>
                <w:sz w:val="15"/>
                <w:szCs w:val="15"/>
                <w:color w:val="auto"/>
              </w:rPr>
            </w:pPr>
          </w:p>
        </w:tc>
        <w:tc>
          <w:tcPr>
            <w:tcW w:w="1780" w:type="dxa"/>
            <w:vAlign w:val="bottom"/>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
        </w:trPr>
        <w:tc>
          <w:tcPr>
            <w:tcW w:w="8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7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Letters of credit</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7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$120 million and $127 million as of June 30, 2025 and December 31, 2024, respectively. We believe that substantially all cash held outside the U.S. is free from legal encumbrances or similar restrictions that would prevent it from being available to meet our global liquidity needs.</w:t>
      </w:r>
    </w:p>
    <w:p>
      <w:pPr>
        <w:spacing w:after="0" w:line="9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Gaming operations generally require significant upfront capital expenditures, and we may need to incur additional capital expenditures in order to retain or increase market share and continue our product investments. For certain game sales in which control of the units have transferred to a customer, but the title transfer is pending until the final payment is made, we have elected to designate future collections as restricted cash until the resolution of the Aristocrat legal matter (for additional information on our legal proceedings, see Note 15 in this Form 10-Q and Note 19 in our 2024 Form 10-K).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2024 10-K, other than those associated with our amended credit facility and changes to our debt issuance, as described below and in Note 10.</w:t>
      </w:r>
    </w:p>
    <w:p>
      <w:pPr>
        <w:spacing w:after="0" w:line="1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2024 10-K.</w:t>
      </w:r>
    </w:p>
    <w:p>
      <w:pPr>
        <w:spacing w:after="0" w:line="1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11, 2024, our Board of Directors approved a share repurchase program under which the Company is authorized to repurchase, from time to time through June 12, 2027, up to an aggregate amount of $1.0 billion of shares of outstanding common stock. During the six months ended June 30, 2025, we repurchased approximately 3.1 million shares of common stock at an aggregate cost of $266 million (excluding excise tax). On July 31, 2025, our Board of Directors approved an additional aggregate amount of up to $500 million of shares of outstanding common stock as authorized to be repurchased under the share repurchase program.</w:t>
      </w:r>
    </w:p>
    <w:p>
      <w:pPr>
        <w:spacing w:after="0" w:line="10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On February 10, 2025 we amended the LNWI Credit Agreement. The amendment, among other things, (i) provided for new revolving commitments under the LNWI Revolver in an amount of $1.0 billion, which replaced the existing revolving commitments (which were in an amount of $750 million), (ii) extended the maturity of the revolving commitments and (iii) reduced the applicable margin for the revolving loans by up to 50 basis points. See Note 10 for further details.</w:t>
      </w:r>
    </w:p>
    <w:p>
      <w:pPr>
        <w:spacing w:after="0" w:line="11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15, 2025, LNWI entered into the LNWI Credit Agreement A, pursuant to which LNWI borrowed an aggregate principal amount of $800 million in term loans under the LNWI Term Loan A facility. The proceeds of the loans were used to complete the Grover acquisition and pay fees and expenses related thereto. Loans under the LNWI Term Loan A will mature on May 15, 2028 and, beginning with the first fiscal quarter ending on September 30, 2025, will amortize in</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2" w:name="page43"/>
    <w:bookmarkEnd w:id="42"/>
    <w:p>
      <w:pPr>
        <w:ind w:right="380"/>
        <w:spacing w:after="0" w:line="261" w:lineRule="auto"/>
        <w:rPr>
          <w:sz w:val="20"/>
          <w:szCs w:val="20"/>
          <w:color w:val="auto"/>
        </w:rPr>
      </w:pPr>
      <w:r>
        <w:rPr>
          <w:rFonts w:ascii="Times New Roman" w:cs="Times New Roman" w:eastAsia="Times New Roman" w:hAnsi="Times New Roman"/>
          <w:sz w:val="18"/>
          <w:szCs w:val="18"/>
          <w:color w:val="auto"/>
        </w:rPr>
        <w:t>quarterly installments in aggregate amounts equal to: (i) for the first four full fiscal quarters following the TLA Closing Date, 0.625% of the aggregate principal amount of the LNWI Term Loan A funded on the TLA Closing Date and (ii) for each fiscal quarter following the fourth full fiscal quarter following the TLA Closing Date, 1.25% of the aggregate principal amount of such LNWI Term Loan A funded on the TLA Closing Date, with any outstanding balance due and payable at maturity. See Note 10 for further details.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18"/>
                <w:szCs w:val="18"/>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4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93"/>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Pr>
          <w:p>
            <w:pPr>
              <w:spacing w:after="0"/>
              <w:rPr>
                <w:sz w:val="24"/>
                <w:szCs w:val="24"/>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640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13"/>
              <w:spacing w:after="0" w:line="172"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12"/>
              <w:spacing w:after="0" w:line="172"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13"/>
              <w:spacing w:after="0" w:line="172" w:lineRule="exact"/>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primarily due to changes in working capital accounts, partially offset by a $42 million increase in earnings (drivers of which are described above). Changes in working capital accounts for the six months ended June 30, 2025 as compared to the six months ended June 30, 2024 were negatively impacted by $73 million related to certain legal settlement payments and increased inventory levels.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primarily due to the Grover acquisition, partially offset by lower capital expenditures related to the timing of investments in Gaming operations. Capital expenditures are composed of investments in systems, equipment and other assets related to contracts, property and equipment, intangible assets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primarily driven by borrowings incurred under the LNWI Term Loan A and the LNWI Revolver, partially offset by higher purchases of our outstanding common stock under our share repurchase programs. During the six months ended June 30, 2025 and 2024, we paid (including excise tax) $270 million and $175 million, respectively, to purchase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LNWI Credit Agreement and other debt, interest rate risk and interest rate hedging instruments, see Notes 14 and 15 and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“Quantitative and Qualitative Disclosures About Market Risk” in our 2024 10-K as well as Notes 10 and 11 and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below in this Form 10-Q.</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we did not have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 face value of long-term debt was $4.9 billion, including $3.1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$31 million. All of our interest rate sensitive financial instruments are held for purposes other than trading.</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112" w:lineRule="exact"/>
        <w:rPr>
          <w:sz w:val="20"/>
          <w:szCs w:val="20"/>
          <w:color w:val="auto"/>
        </w:rPr>
      </w:pPr>
    </w:p>
    <w:p>
      <w:pPr>
        <w:ind w:right="1680" w:firstLine="648"/>
        <w:spacing w:after="0" w:line="41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10 and 11, respectively. </w:t>
      </w:r>
      <w:r>
        <w:rPr>
          <w:rFonts w:ascii="Times New Roman" w:cs="Times New Roman" w:eastAsia="Times New Roman" w:hAnsi="Times New Roman"/>
          <w:sz w:val="18"/>
          <w:szCs w:val="18"/>
          <w:b w:val="1"/>
          <w:bCs w:val="1"/>
          <w:color w:val="auto"/>
        </w:rPr>
        <w:t>Item 4. Controls and Procedures</w:t>
      </w:r>
    </w:p>
    <w:p>
      <w:pPr>
        <w:spacing w:after="0" w:line="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June 30, 2025.</w:t>
      </w:r>
    </w:p>
    <w:p>
      <w:pPr>
        <w:spacing w:after="0" w:line="11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May 2025, we completed the Grover acquisition (see Note 1). We are in the process of integrating Grover and our internal controls over financial reporting. As a result of these integration activities, certain controls will be evaluated and may be revised. There were no other changes in our internal control over financial reporting during the quarter ended June 30, 2025 that have materially affected, or are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of our legal proceedings, see Note 15, in this Quarterly Report on Form 10-Q and Note 19 in our 2024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Except as set forth below, there have been no material changes in our risk factors from those disclosed under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included in our 2024 10-K.</w:t>
      </w:r>
    </w:p>
    <w:p>
      <w:pPr>
        <w:spacing w:after="0" w:line="8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Unfavorable U.S. and international economic conditions, decreased discretionary spending, travel or operational disruptions due to other factors such as inflation, rising benchmark interest rates, new or increased trade tariffs, terrorist activity or threat thereof, armed conflicts or hostilities, civil unrest, health epidemics, contagious disease outbreaks, or public perception thereof, other economic or political uncertainties, or other events beyond our control have adversely affected and may in the future adversely affect our business, results of operations, cash flows and financial condition.</w:t>
      </w:r>
    </w:p>
    <w:p>
      <w:pPr>
        <w:spacing w:after="0" w:line="11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Unfavorable economic conditions, including recession, inflation, rising benchmark interest rates, economic slowdown, decreased liquidity in the financial markets, decreased availability of credit, relatively high rates of unemployment and inflation, have had, and may continue to have, a negative effect on our business. Sociopolitical factors such as terrorist activity or threat thereof, armed conflicts or hostilities, civil unrest or other economic or political uncertainties, or health epidemics, contagious disease outbreaks, or public perception thereof, or other events beyond our control that contribute to consumer unease have resulted, and may continue to result, in decreased discretionary spending or travel by consumers and have had, any may continue to have, a negative effect on our businesses. Such factors out of our control may also have effects beyond discretionary spending or travel, such as disruptions to our operations and productivity, which could also have a negative effect on our businesses. Prolonged or more severe economic weakness, particularly from inflation, rising interest rates, new or increased tariffs and foreign currency volatility, could materially adversely impact our business, including causing our expected expenses to increase materially. We cannot fully predict the effects that unfavorable social, political and economic conditions, economic uncertainties and public health crises and any resulting decrease in discretionary spending or travel would have on us, as they would be expected to impact our customers, suppliers, employees, consultants and business partners in varied ways.</w:t>
      </w:r>
    </w:p>
    <w:p>
      <w:pPr>
        <w:spacing w:after="0" w:line="11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our Gaming business, especially our Participation gaming business, our revenue is largely driven by players’ disposable incomes and level of gaming activity which may be reduced by unfavorable economic conditions. A further or extended decline in disposable income may result in reduced play levels on our Participation gaming machines, causing our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44" w:name="page45"/>
    <w:bookmarkEnd w:id="44"/>
    <w:p>
      <w:pPr>
        <w:spacing w:after="0" w:line="258" w:lineRule="auto"/>
        <w:rPr>
          <w:sz w:val="20"/>
          <w:szCs w:val="20"/>
          <w:color w:val="auto"/>
        </w:rPr>
      </w:pPr>
      <w:r>
        <w:rPr>
          <w:rFonts w:ascii="Times New Roman" w:cs="Times New Roman" w:eastAsia="Times New Roman" w:hAnsi="Times New Roman"/>
          <w:sz w:val="18"/>
          <w:szCs w:val="18"/>
          <w:color w:val="auto"/>
        </w:rPr>
        <w:t>results of operations and cash flows from these products to decline. Additionally, higher travel and other costs may adversely affect the number of players visiting our customers’ casinos. Adverse changes in discretionary consumer spending or consumer preferences, resulting in fewer patrons visiting casinos and reduced play levels, could also be driven by factors such as an unstable job market, recession, new or increased tariffs, outbreaks of contagious diseases or public perception thereof or fears of terrorism or other violence. A decline in play levels has negatively impacted the results of operations, cash flows and financial condition of our casino customers and their ability to purchase or lease our products and services.</w:t>
      </w:r>
    </w:p>
    <w:p>
      <w:pPr>
        <w:spacing w:after="0" w:line="116"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Unfavorable economic conditions have also impacted, and could continue to impact, the ability of our Gaming customers to make timely payments to us. These conditions, and the concentration of certain outstanding Gaming segment receivables, may increase our collection risks and materially impact our estimate of receivables allowance for credit losses. In addition, unfavorable economic conditions have caused, and may cause in the future, some of our Gaming customers to temporarily close gaming venues or ultimately declare bankruptcy, which adversely affects our business. Further, our Gaming customers could elect to modify their replacement cycles or otherwise delay purchases and capital expenditures they would have otherwise made. Unfavorable economic conditions may also result in volatility in the credit and equity markets. The difficulty or inability of our customers to generate or obtain adequate levels of capital to finance their ongoing operations may reduce their ability to purchase our products and services.</w:t>
      </w:r>
    </w:p>
    <w:p>
      <w:pPr>
        <w:spacing w:after="0" w:line="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our iGaming business based on a Participation model, our revenue is largely driven by disposable incomes and level of player activity. Unfavorable economic conditions have previously reduced and may later reduce the disposable incomes of end users consuming the services, which could negatively impact revenues for the iGaming business. Suppliers to our iGaming business may suffer financial difficulties and may not be able to offer their services and products, which could restrict the provision of our services and negatively impact our revenues. Various gambling regulators have implemented additional responsible and safer gambling measures relating to online casinos, including the implementation of bet limits, spin speeds, deposit limits and bonusing, which could negatively impact our revenues, particularly if additional gambling regulators follow suit or additional measures are introduced.</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our SciPlay business, while we maintain offices in the U.S., we have employees and consultants operating in foreign jurisdictions, including Israel. In the foreign jurisdictions in which SciPlay operates, conditions such as political instability, inflation, slower growth or recession, new or increased tariffs, terrorist activity or threat thereof, armed conflicts or hostilities and civil unrest could adversely affect our business and results of operations. For example, political, economic and military conditions in Israel, including acts of terrorism, war or other armed conflicts, which have impacted our employees and operations in Israel, could in the future cause business interruptions or other spillover effects that could materially adversely affect SciPlay’s business and results of operations.</w:t>
      </w:r>
    </w:p>
    <w:p>
      <w:pPr>
        <w:spacing w:after="0" w:line="12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Additionally, in our Gaming business, we monitor for any potential disruptions in our supply chain, such as those due to health epidemics, contagious disease outbreaks, or public perception thereof, terrorist activity or threat thereof, armed conflicts or hostilities, civil unrest or other economic or political uncertainties, or other events beyond our control, and we may be required to increase our inventory positions when deemed necessary to mitigate any expected or unexpected delays and fulfill customer orders timely. The current conflict in Israel has delayed passage of supplier vessels through the Red Sea and could require us to increase our inventory positions and/or could result in higher holding and freight costs, which could adversely impact our operations and/or gross margin.</w:t>
      </w:r>
    </w:p>
    <w:p>
      <w:pPr>
        <w:spacing w:after="0" w:line="106"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There are ongoing concerns regarding the debt burden of certain countries, particularly in Europe and South America, and their ability to meet their future financial obligations, which have resulted in downgrades of the debt ratings for these countries. We currently operate in, and our growth strategy may involve pursuing expansion or business opportunities in certain of these jurisdictions, such as Argentina, Brazil, Greece, Italy and Puerto Rico among others. These sovereign debt concerns, whether real or perceived, could result in a recession, prolonged economic slowdown, or otherwise negatively impact the general health and stability of the economies in these countries or more broadly. In more severe cases, this could result in a limitation on the availability or flow of capital, thereby restricting our liquidity and negatively impacting our results of operations, cash flows and financial condition.</w:t>
      </w:r>
    </w:p>
    <w:p>
      <w:pPr>
        <w:spacing w:after="0" w:line="10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policy, including the imposition of tariffs and the resulting consequences, may have a material adverse impact on our business, operating results, and financial condition.</w:t>
      </w:r>
    </w:p>
    <w:p>
      <w:pPr>
        <w:spacing w:after="0" w:line="9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U.S. government has adopted new approaches to trade policy and in some cases, may renegotiate, or potentially terminate, certain existing bilateral or multi-lateral trade agreement. The U.S. government has also imposed tariffs on certain foreign goods and has raised the possibility of imposing significant, additional tariff increases or expanding the tariffs to capture other countries and types of foreign goods. In addition, in response to tariffs, other countries have implemented retaliatory tariffs on U.S. goods.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cannot yet predict the full effect of the recently imposed U.S. tariffs on imports, or the extent to which other countries will impose quotas, duties, tariffs, taxes or other similar restrictions upon the import or export of materials in the future, nor can we predict future trade policy or the terms of any renegotiated trade agreements and their impact on our business. As we currently source a portion of our Gaming Business raw materials and components from China and across Asia, any additional duties imposed on imports may materially impact our supply chain by making it more difficult or costly to procure these items. Potential adverse impacts on our operating results include increased costs for our products and disruptions in our manufacturing and supply. The overall impact of trade policy and laws on our business depends on multiple factors, including their duration, their scope and its potential expansion, enforcement, retaliatory measures by impacted exporting countries, inflationary effects and broader macroeconomic responses, changes to consumer purchasing behavior, and the effectiveness of our responses in managing these impacts. While we believe we can adapt our business strategy to mitigate these effects, there is no assurance that these efforts will fully offset any increased costs.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political tensions as a result of trade policies could reduce trade volume, investment and other economic activities between major international economies, resulting in a material adverse effect on global economic conditions and the stability of global financial markets. Uncertainties in global economic conditions have in the past negatively impacted discretionary consumer spending. As our revenue in our Gaming and iGaming businesses is largely driven by players’ disposable incomes and level of gaming activity, a downturn in the economic environment may in turn have a material adverse impact on our business and financial condition.</w:t>
      </w:r>
    </w:p>
    <w:p>
      <w:pPr>
        <w:spacing w:after="0" w:line="9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has determined to pursue a sole primary listing on the ASX, meaning we intend to delist our securities from Nasdaq, which could negatively affect the liquidity and trading prices of our common stock, and could result in a decline in stock prices and could limit investors’ ability to trade in our securities.</w:t>
      </w:r>
    </w:p>
    <w:p>
      <w:pPr>
        <w:spacing w:after="0" w:line="1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remains focused on enhancing the liquidity and market capitalization of its ASX listing and has determined to pursue a sole primary listing on the ASX and delist our securities from Nasdaq. Such delisting, if consummated, could result in a decrease in disclosure or other information (including analyst coverage) about the Company, impact our access to the capital markets (including by limiting our ability to issue additional securities or obtain additional financing) and decrease the liquidity and trading prices of our common stock (even though stockholders may still continue to trade our common stock on an over-the-counter (“OTC”) market).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repurchased 1.2 million shares under the share repurchase programs during the three months ended June 30, 2025.</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jc w:val="center"/>
              <w:ind w:left="259"/>
              <w:spacing w:after="0" w:line="161" w:lineRule="exact"/>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3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jc w:val="center"/>
              <w:ind w:left="259"/>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40" w:type="dxa"/>
            <w:vAlign w:val="bottom"/>
          </w:tcPr>
          <w:p>
            <w:pPr>
              <w:spacing w:after="0"/>
              <w:rPr>
                <w:sz w:val="14"/>
                <w:szCs w:val="14"/>
                <w:color w:val="auto"/>
              </w:rPr>
            </w:pPr>
          </w:p>
        </w:tc>
        <w:tc>
          <w:tcPr>
            <w:tcW w:w="200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Cost of Repurchase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00" w:type="dxa"/>
            <w:vAlign w:val="bottom"/>
          </w:tcPr>
          <w:p>
            <w:pPr>
              <w:jc w:val="center"/>
              <w:ind w:left="259"/>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400" w:type="dxa"/>
            <w:vAlign w:val="bottom"/>
            <w:gridSpan w:val="2"/>
            <w:vMerge w:val="continue"/>
          </w:tcPr>
          <w:p>
            <w:pPr>
              <w:spacing w:after="0"/>
              <w:rPr>
                <w:sz w:val="18"/>
                <w:szCs w:val="18"/>
                <w:color w:val="auto"/>
              </w:rPr>
            </w:pPr>
          </w:p>
        </w:tc>
        <w:tc>
          <w:tcPr>
            <w:tcW w:w="210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5"/>
              </w:rPr>
              <w:t>per Share</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18"/>
                <w:szCs w:val="18"/>
                <w:color w:val="auto"/>
              </w:rPr>
            </w:pPr>
          </w:p>
        </w:tc>
        <w:tc>
          <w:tcPr>
            <w:tcW w:w="2000" w:type="dxa"/>
            <w:vAlign w:val="bottom"/>
          </w:tcPr>
          <w:p>
            <w:pPr>
              <w:jc w:val="right"/>
              <w:ind w:right="513"/>
              <w:spacing w:after="0" w:line="216" w:lineRule="exact"/>
              <w:rPr>
                <w:sz w:val="20"/>
                <w:szCs w:val="20"/>
                <w:color w:val="auto"/>
              </w:rPr>
            </w:pPr>
            <w:r>
              <w:rPr>
                <w:rFonts w:ascii="Times New Roman" w:cs="Times New Roman" w:eastAsia="Times New Roman" w:hAnsi="Times New Roman"/>
                <w:sz w:val="16"/>
                <w:szCs w:val="16"/>
                <w:b w:val="1"/>
                <w:bCs w:val="1"/>
                <w:color w:val="auto"/>
              </w:rPr>
              <w:t>(in millions)</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248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16"/>
                <w:szCs w:val="16"/>
                <w:b w:val="1"/>
                <w:bCs w:val="1"/>
                <w:color w:val="auto"/>
                <w:w w:val="99"/>
              </w:rPr>
              <w:t>Under the Programs (in millions)</w:t>
            </w:r>
            <w:r>
              <w:rPr>
                <w:rFonts w:ascii="Times New Roman" w:cs="Times New Roman" w:eastAsia="Times New Roman" w:hAnsi="Times New Roman"/>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98"/>
              </w:rPr>
              <w:t>4/1/2025 - 4/30/2025</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23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98"/>
              </w:rPr>
              <w:t>5/1/2025 - 5/31/2025</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98"/>
              </w:rPr>
              <w:t>6/1/2025 - 6/30/2025</w:t>
            </w:r>
          </w:p>
        </w:tc>
        <w:tc>
          <w:tcPr>
            <w:tcW w:w="100" w:type="dxa"/>
            <w:vAlign w:val="bottom"/>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right="160" w:firstLine="6"/>
        <w:spacing w:after="0" w:line="234" w:lineRule="auto"/>
        <w:tabs>
          <w:tab w:leader="none" w:pos="24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resulting in $2 million recorded as of June 30, 2025. Any excise tax incurred is recognized in stockholders’ equity as part of the cost basis of the shares acquired.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4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46" w:name="page47"/>
    <w:bookmarkEnd w:id="46"/>
    <w:p>
      <w:pPr>
        <w:ind w:right="400"/>
        <w:spacing w:after="0" w:line="282" w:lineRule="auto"/>
        <w:rPr>
          <w:sz w:val="20"/>
          <w:szCs w:val="20"/>
          <w:color w:val="auto"/>
        </w:rPr>
      </w:pPr>
      <w:r>
        <w:rPr>
          <w:rFonts w:ascii="Times New Roman" w:cs="Times New Roman" w:eastAsia="Times New Roman" w:hAnsi="Times New Roman"/>
          <w:sz w:val="18"/>
          <w:szCs w:val="18"/>
          <w:color w:val="auto"/>
        </w:rPr>
        <w:t>10b5-1 trading arrangements (as defined in Item 408(c) of Regulation S-K). During the three months ended June 30, 2025, no director or officer of the Company adopted or terminated a "Rule 10b5-1 trading arrangement" as such term is defined in Item 408(a)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920" w:type="dxa"/>
            <w:vAlign w:val="bottom"/>
            <w:gridSpan w:val="20"/>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920" w:type="dxa"/>
            <w:vAlign w:val="bottom"/>
            <w:gridSpan w:val="2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60" w:type="dxa"/>
            <w:vAlign w:val="bottom"/>
            <w:tcBorders>
              <w:top w:val="single" w:sz="8" w:color="auto"/>
            </w:tcBorders>
            <w:gridSpan w:val="26"/>
            <w:shd w:val="clear" w:color="auto" w:fill="CCEEFF"/>
          </w:tcPr>
          <w:p>
            <w:pPr>
              <w:spacing w:after="0" w:line="182"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Asset Purchase Agreement, dated as of February 17, 2025, by and among Grover Gaming, Inc., G2 Gaming, Inc. and LNW Gaming, Inc.</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00" w:type="dxa"/>
            <w:vAlign w:val="bottom"/>
            <w:tcBorders>
              <w:top w:val="single" w:sz="8" w:color="0000FF"/>
            </w:tcBorders>
            <w:gridSpan w:val="23"/>
            <w:shd w:val="clear" w:color="auto" w:fill="CCEEFF"/>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(incorporated by reference to Exhibit 2.1 to Light &amp; Wonder, Inc.'s Current Report on Form 8-K filed February 18, 2025).</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(incorporated by reference to Exhibit 3.1(a) to Light &amp; Wonder, Inc.’s Quarterly Report on Form 10-Q for the quarter ended June 30,</w:t>
              </w:r>
            </w:hyperlink>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2022).</w:t>
              </w:r>
            </w:hyperlink>
          </w:p>
        </w:tc>
        <w:tc>
          <w:tcPr>
            <w:tcW w:w="240" w:type="dxa"/>
            <w:vAlign w:val="bottom"/>
            <w:tcBorders>
              <w:top w:val="single" w:sz="8" w:color="0000FF"/>
            </w:tcBorders>
            <w:shd w:val="clear" w:color="auto" w:fill="CCEEFF"/>
          </w:tcPr>
          <w:p>
            <w:pPr>
              <w:spacing w:after="0"/>
              <w:rPr>
                <w:sz w:val="15"/>
                <w:szCs w:val="15"/>
                <w:color w:val="auto"/>
              </w:rPr>
            </w:pPr>
          </w:p>
        </w:tc>
        <w:tc>
          <w:tcPr>
            <w:tcW w:w="86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3660" w:type="dxa"/>
            <w:vAlign w:val="bottom"/>
            <w:tcBorders>
              <w:top w:val="single" w:sz="8" w:color="0000FF"/>
            </w:tcBorders>
            <w:shd w:val="clear" w:color="auto" w:fill="CCEEFF"/>
          </w:tcPr>
          <w:p>
            <w:pPr>
              <w:spacing w:after="0"/>
              <w:rPr>
                <w:sz w:val="15"/>
                <w:szCs w:val="15"/>
                <w:color w:val="auto"/>
              </w:rPr>
            </w:pPr>
          </w:p>
        </w:tc>
        <w:tc>
          <w:tcPr>
            <w:tcW w:w="130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Third Amended and Restated Bylaws of Light &amp; Wonder, Inc., effective as of August 3, 2023 (incorporated by reference to Exhibit 3.2 to</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Light &amp; Wonder, Inc.’s Quarterly Report on Form 10-Q for the quarter ended June 30, 2023).</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Credit Agreement, by and among Light and Wonder International, Inc., as the borrower, Light &amp; Wonder, Inc., as a guarantor, the several</w:t>
              </w:r>
            </w:hyperlink>
          </w:p>
        </w:tc>
        <w:tc>
          <w:tcPr>
            <w:tcW w:w="0" w:type="dxa"/>
            <w:vAlign w:val="bottom"/>
          </w:tcPr>
          <w:p>
            <w:pPr>
              <w:spacing w:after="0"/>
              <w:rPr>
                <w:sz w:val="1"/>
                <w:szCs w:val="1"/>
                <w:color w:val="auto"/>
              </w:rPr>
            </w:pPr>
          </w:p>
        </w:tc>
      </w:tr>
      <w:tr>
        <w:trPr>
          <w:trHeight w:val="169"/>
        </w:trPr>
        <w:tc>
          <w:tcPr>
            <w:tcW w:w="1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banks and other financial institutions or entities from time to time party thereto and JPMorgan Chase Bank, N.A., as administrative agent</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and collateral agent (incorporated by reference to Exhibit 10.1 to Light &amp; Wonder, Inc.'s Current Report on Form 8-K filed May 16,</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0000FF"/>
            </w:tcBorders>
            <w:gridSpan w:val="2"/>
            <w:shd w:val="clear" w:color="auto" w:fill="CCEEFF"/>
          </w:tcPr>
          <w:p>
            <w:pPr>
              <w:spacing w:after="0" w:line="136" w:lineRule="exact"/>
              <w:rPr>
                <w:rFonts w:ascii="Times New Roman" w:cs="Times New Roman" w:eastAsia="Times New Roman" w:hAnsi="Times New Roman"/>
                <w:sz w:val="15"/>
                <w:szCs w:val="15"/>
                <w:color w:val="0000FF"/>
              </w:rPr>
            </w:pPr>
            <w:hyperlink r:id="rId76">
              <w:r>
                <w:rPr>
                  <w:rFonts w:ascii="Times New Roman" w:cs="Times New Roman" w:eastAsia="Times New Roman" w:hAnsi="Times New Roman"/>
                  <w:sz w:val="15"/>
                  <w:szCs w:val="15"/>
                  <w:color w:val="0000FF"/>
                </w:rPr>
                <w:t>2025)</w:t>
              </w:r>
            </w:hyperlink>
            <w:hyperlink r:id="rId79">
              <w:r>
                <w:rPr>
                  <w:rFonts w:ascii="Times New Roman" w:cs="Times New Roman" w:eastAsia="Times New Roman" w:hAnsi="Times New Roman"/>
                  <w:sz w:val="15"/>
                  <w:szCs w:val="15"/>
                  <w:color w:val="0000FF"/>
                </w:rPr>
                <w:t>.</w:t>
              </w:r>
            </w:hyperlink>
          </w:p>
        </w:tc>
        <w:tc>
          <w:tcPr>
            <w:tcW w:w="240" w:type="dxa"/>
            <w:vAlign w:val="bottom"/>
            <w:tcBorders>
              <w:top w:val="single" w:sz="8" w:color="0000FF"/>
            </w:tcBorders>
            <w:shd w:val="clear" w:color="auto" w:fill="CCEEFF"/>
          </w:tcPr>
          <w:p>
            <w:pPr>
              <w:spacing w:after="0"/>
              <w:rPr>
                <w:sz w:val="13"/>
                <w:szCs w:val="13"/>
                <w:color w:val="auto"/>
              </w:rPr>
            </w:pPr>
          </w:p>
        </w:tc>
        <w:tc>
          <w:tcPr>
            <w:tcW w:w="860" w:type="dxa"/>
            <w:vAlign w:val="bottom"/>
            <w:tcBorders>
              <w:top w:val="single" w:sz="8" w:color="0000FF"/>
            </w:tcBorders>
            <w:shd w:val="clear" w:color="auto" w:fill="CCEEFF"/>
          </w:tcPr>
          <w:p>
            <w:pPr>
              <w:spacing w:after="0"/>
              <w:rPr>
                <w:sz w:val="13"/>
                <w:szCs w:val="13"/>
                <w:color w:val="auto"/>
              </w:rPr>
            </w:pPr>
          </w:p>
        </w:tc>
        <w:tc>
          <w:tcPr>
            <w:tcW w:w="260" w:type="dxa"/>
            <w:vAlign w:val="bottom"/>
            <w:tcBorders>
              <w:top w:val="single" w:sz="8" w:color="0000FF"/>
            </w:tcBorders>
            <w:shd w:val="clear" w:color="auto" w:fill="CCEEFF"/>
          </w:tcPr>
          <w:p>
            <w:pPr>
              <w:spacing w:after="0"/>
              <w:rPr>
                <w:sz w:val="13"/>
                <w:szCs w:val="13"/>
                <w:color w:val="auto"/>
              </w:rPr>
            </w:pPr>
          </w:p>
        </w:tc>
        <w:tc>
          <w:tcPr>
            <w:tcW w:w="480" w:type="dxa"/>
            <w:vAlign w:val="bottom"/>
            <w:tcBorders>
              <w:top w:val="single" w:sz="8" w:color="0000FF"/>
            </w:tcBorders>
            <w:shd w:val="clear" w:color="auto" w:fill="CCEEFF"/>
          </w:tcPr>
          <w:p>
            <w:pPr>
              <w:spacing w:after="0"/>
              <w:rPr>
                <w:sz w:val="13"/>
                <w:szCs w:val="13"/>
                <w:color w:val="auto"/>
              </w:rPr>
            </w:pPr>
          </w:p>
        </w:tc>
        <w:tc>
          <w:tcPr>
            <w:tcW w:w="366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Light &amp; Wonder, Inc. Amended and Restated 2003 Incentive Compensation Plan (Amended and Restated as of June 10, 2025)</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080" w:type="dxa"/>
            <w:vAlign w:val="bottom"/>
            <w:tcBorders>
              <w:top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(incorporated by reference to Exhibit 10.1 to Light &amp; Wonder, Inc.'s Current Report on Form 8-K filed June 12, 2025).*</w:t>
              </w:r>
            </w:hyperlink>
          </w:p>
        </w:tc>
        <w:tc>
          <w:tcPr>
            <w:tcW w:w="420" w:type="dxa"/>
            <w:vAlign w:val="bottom"/>
            <w:tcBorders>
              <w:top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Amendment to Employment Agreement, effective as of June 20, 2025, by and between Light &amp; Wonder, Inc. and James Sottile.*(†)</w:t>
            </w: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Consulting Agreement, dated as of June 20, 2025, by and between Light &amp; Wonder, Inc. and James Sottile.*(†)</w:t>
            </w: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Amendment to the Amended and Restated Consulting Agreement, dated as of June 23, 2025, by and between Light &amp; Wonder, Inc. and</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760" w:type="dxa"/>
            <w:vAlign w:val="bottom"/>
            <w:tcBorders>
              <w:top w:val="single" w:sz="8" w:color="0000FF"/>
            </w:tcBorders>
            <w:gridSpan w:val="1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Jamie Odell.*(†)</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1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14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40" w:type="dxa"/>
            <w:vAlign w:val="bottom"/>
            <w:tcBorders>
              <w:top w:val="single" w:sz="8" w:color="0000FF"/>
            </w:tcBorders>
            <w:gridSpan w:val="25"/>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18 U.S.C. Section 1350, as adopted pursuant to Section</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2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60" w:type="dxa"/>
            <w:vAlign w:val="bottom"/>
            <w:tcBorders>
              <w:top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740" w:type="dxa"/>
            <w:vAlign w:val="bottom"/>
            <w:tcBorders>
              <w:top w:val="single" w:sz="8" w:color="0000FF"/>
            </w:tcBorders>
            <w:gridSpan w:val="1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20" w:type="dxa"/>
            <w:vAlign w:val="bottom"/>
            <w:tcBorders>
              <w:top w:val="single" w:sz="8" w:color="CCEEFF"/>
            </w:tcBorders>
            <w:gridSpan w:val="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3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shd w:val="clear" w:color="auto" w:fill="CCEEFF"/>
          </w:tcPr>
          <w:p>
            <w:pPr>
              <w:spacing w:after="0"/>
              <w:rPr>
                <w:sz w:val="16"/>
                <w:szCs w:val="16"/>
                <w:color w:val="auto"/>
              </w:rPr>
            </w:pPr>
          </w:p>
        </w:tc>
        <w:tc>
          <w:tcPr>
            <w:tcW w:w="9960" w:type="dxa"/>
            <w:vAlign w:val="bottom"/>
            <w:gridSpan w:val="26"/>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19"/>
                <w:szCs w:val="19"/>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shd w:val="clear" w:color="auto" w:fill="CCEEFF"/>
          </w:tcPr>
          <w:p>
            <w:pPr>
              <w:spacing w:after="0"/>
              <w:rPr>
                <w:sz w:val="19"/>
                <w:szCs w:val="19"/>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19"/>
                <w:szCs w:val="19"/>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shd w:val="clear" w:color="auto" w:fill="CCEEFF"/>
          </w:tcPr>
          <w:p>
            <w:pPr>
              <w:spacing w:after="0"/>
              <w:rPr>
                <w:sz w:val="19"/>
                <w:szCs w:val="19"/>
                <w:color w:val="auto"/>
              </w:rPr>
            </w:pPr>
          </w:p>
        </w:tc>
        <w:tc>
          <w:tcPr>
            <w:tcW w:w="99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00" w:hanging="833"/>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ind w:right="219" w:firstLine="8"/>
        <w:spacing w:after="0" w:line="261" w:lineRule="auto"/>
        <w:tabs>
          <w:tab w:leader="none" w:pos="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compensation plans and arrangements in which directors and/or executive officers are eligible to participate. ** Furnished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1000" w:type="dxa"/>
            <w:vAlign w:val="bottom"/>
            <w:tcBorders>
              <w:top w:val="single" w:sz="8" w:color="auto"/>
            </w:tcBorders>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Oliver Chow</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0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Oliver Chow</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August 6,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Amendment to Employment Agreement</w:t>
      </w: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This Amendment to Employment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made effective as of June 20, 2025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 by and between Light &amp; Wonder, Inc., a Nevada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James Sottile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w:t>
      </w:r>
    </w:p>
    <w:p>
      <w:pPr>
        <w:spacing w:after="0" w:line="21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WHEREAS, the Company and Executive entered into an Employment Agreement dated as of September 4, 2018, which was replaced by an employment agreement dated August 2, 2021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NOW THEREFORE, in consideration of the premises and the mutual benefits to be derived herefrom and other good and valuable consideration, the receipt and sufficiency of which are hereby acknowledged, the parties agree as follows:</w:t>
      </w:r>
    </w:p>
    <w:p>
      <w:pPr>
        <w:spacing w:after="0" w:line="206" w:lineRule="exact"/>
        <w:rPr>
          <w:sz w:val="20"/>
          <w:szCs w:val="20"/>
          <w:color w:val="auto"/>
        </w:rPr>
      </w:pPr>
    </w:p>
    <w:p>
      <w:pPr>
        <w:ind w:right="20" w:firstLine="656"/>
        <w:spacing w:after="0" w:line="280" w:lineRule="auto"/>
        <w:tabs>
          <w:tab w:leader="none" w:pos="128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Revision to Section 1, Term</w:t>
      </w:r>
      <w:r>
        <w:rPr>
          <w:rFonts w:ascii="Times New Roman" w:cs="Times New Roman" w:eastAsia="Times New Roman" w:hAnsi="Times New Roman"/>
          <w:sz w:val="19"/>
          <w:szCs w:val="19"/>
          <w:color w:val="auto"/>
        </w:rPr>
        <w:t>. The Parties agree that the existing term will be extended through December 31, 2025 and that Executive will retire on December 31, 2025. The Agreement, and Executive’s employment with the Company, will end on that date.</w:t>
      </w:r>
    </w:p>
    <w:p>
      <w:pPr>
        <w:spacing w:after="0" w:line="188" w:lineRule="exact"/>
        <w:rPr>
          <w:rFonts w:ascii="Times New Roman" w:cs="Times New Roman" w:eastAsia="Times New Roman" w:hAnsi="Times New Roman"/>
          <w:sz w:val="19"/>
          <w:szCs w:val="19"/>
          <w:color w:val="auto"/>
        </w:rPr>
      </w:pPr>
    </w:p>
    <w:p>
      <w:pPr>
        <w:ind w:right="20" w:firstLine="656"/>
        <w:spacing w:after="0" w:line="284" w:lineRule="auto"/>
        <w:tabs>
          <w:tab w:leader="none" w:pos="128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Revision to Clause Addressing Equity Treatment at Retirement in Section 3</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As of the Amendment Effective Date, Section 3(c)(iii) is deleted and replaced with the following</w:t>
      </w:r>
    </w:p>
    <w:p>
      <w:pPr>
        <w:spacing w:after="0" w:line="17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9"/>
          <w:szCs w:val="19"/>
          <w:color w:val="auto"/>
        </w:rPr>
        <w:t>“(iii) All equity awards granted to Executive pursuant to this Agreement will be subject to the Company’s policy on equity vesting upon retirement and otherwise will be subject to the form of award agreement under which the equity grants were made, which, for the avoidance of doubt, will not impact the timing of settlement.</w:t>
      </w:r>
    </w:p>
    <w:p>
      <w:pPr>
        <w:spacing w:after="0" w:line="205" w:lineRule="exact"/>
        <w:rPr>
          <w:sz w:val="20"/>
          <w:szCs w:val="20"/>
          <w:color w:val="auto"/>
        </w:rPr>
      </w:pPr>
    </w:p>
    <w:p>
      <w:pPr>
        <w:ind w:firstLine="656"/>
        <w:spacing w:after="0" w:line="280" w:lineRule="auto"/>
        <w:tabs>
          <w:tab w:leader="none" w:pos="1289"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 Termination of Employment</w:t>
      </w:r>
      <w:r>
        <w:rPr>
          <w:rFonts w:ascii="Times New Roman" w:cs="Times New Roman" w:eastAsia="Times New Roman" w:hAnsi="Times New Roman"/>
          <w:sz w:val="19"/>
          <w:szCs w:val="19"/>
          <w:color w:val="auto"/>
        </w:rPr>
        <w:t>. The Parties agree that Executive will be entitled to the following upon his separation from employment due to this retirement:</w:t>
      </w:r>
    </w:p>
    <w:p>
      <w:pPr>
        <w:spacing w:after="0" w:line="178" w:lineRule="exact"/>
        <w:rPr>
          <w:rFonts w:ascii="Times New Roman" w:cs="Times New Roman" w:eastAsia="Times New Roman" w:hAnsi="Times New Roman"/>
          <w:sz w:val="19"/>
          <w:szCs w:val="19"/>
          <w:color w:val="auto"/>
        </w:rPr>
      </w:pPr>
    </w:p>
    <w:p>
      <w:pPr>
        <w:ind w:left="1560" w:hanging="256"/>
        <w:spacing w:after="0"/>
        <w:tabs>
          <w:tab w:leader="none" w:pos="156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Standard Termination Payments;</w:t>
      </w:r>
    </w:p>
    <w:p>
      <w:pPr>
        <w:spacing w:after="0" w:line="254" w:lineRule="exact"/>
        <w:rPr>
          <w:rFonts w:ascii="Times New Roman" w:cs="Times New Roman" w:eastAsia="Times New Roman" w:hAnsi="Times New Roman"/>
          <w:sz w:val="19"/>
          <w:szCs w:val="19"/>
          <w:color w:val="auto"/>
        </w:rPr>
      </w:pPr>
    </w:p>
    <w:p>
      <w:pPr>
        <w:jc w:val="both"/>
        <w:ind w:firstLine="1304"/>
        <w:spacing w:after="0" w:line="266" w:lineRule="auto"/>
        <w:tabs>
          <w:tab w:leader="none" w:pos="1567"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March 15, 2026, a payment of an amount equal to the Incentive Compensation which would have been payable to Executive had Executive remained employed with the Company through the date in 2026 when calendar year 2025 Incentive Compensation payments were made; and</w:t>
      </w:r>
    </w:p>
    <w:p>
      <w:pPr>
        <w:spacing w:after="0" w:line="205" w:lineRule="exact"/>
        <w:rPr>
          <w:rFonts w:ascii="Times New Roman" w:cs="Times New Roman" w:eastAsia="Times New Roman" w:hAnsi="Times New Roman"/>
          <w:sz w:val="19"/>
          <w:szCs w:val="19"/>
          <w:color w:val="auto"/>
        </w:rPr>
      </w:pPr>
    </w:p>
    <w:p>
      <w:pPr>
        <w:ind w:left="1560" w:hanging="256"/>
        <w:spacing w:after="0"/>
        <w:tabs>
          <w:tab w:leader="none" w:pos="156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vesting as described in Section 3(c)(iii), as amended above in Section 2 of this Amendment.</w:t>
      </w:r>
    </w:p>
    <w:p>
      <w:pPr>
        <w:spacing w:after="0" w:line="241" w:lineRule="exact"/>
        <w:rPr>
          <w:sz w:val="20"/>
          <w:szCs w:val="20"/>
          <w:color w:val="auto"/>
        </w:rPr>
      </w:pPr>
    </w:p>
    <w:p>
      <w:pPr>
        <w:ind w:firstLine="729"/>
        <w:spacing w:after="0" w:line="280" w:lineRule="auto"/>
        <w:rPr>
          <w:sz w:val="20"/>
          <w:szCs w:val="20"/>
          <w:color w:val="auto"/>
        </w:rPr>
      </w:pPr>
      <w:r>
        <w:rPr>
          <w:rFonts w:ascii="Times New Roman" w:cs="Times New Roman" w:eastAsia="Times New Roman" w:hAnsi="Times New Roman"/>
          <w:sz w:val="19"/>
          <w:szCs w:val="19"/>
          <w:color w:val="auto"/>
        </w:rPr>
        <w:t>The Parties also agree that Executive and Company are entering into a Consulting Agreement with an effective date of January 1, 2026, under which Executive will provide consulting services to Company.</w:t>
      </w:r>
    </w:p>
    <w:p>
      <w:pPr>
        <w:spacing w:after="0" w:line="192" w:lineRule="exact"/>
        <w:rPr>
          <w:sz w:val="20"/>
          <w:szCs w:val="20"/>
          <w:color w:val="auto"/>
        </w:rPr>
      </w:pPr>
    </w:p>
    <w:p>
      <w:pPr>
        <w:ind w:right="20" w:firstLine="656"/>
        <w:spacing w:after="0" w:line="280" w:lineRule="auto"/>
        <w:tabs>
          <w:tab w:leader="none" w:pos="128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References to Scientific Games Corporation</w:t>
      </w:r>
      <w:r>
        <w:rPr>
          <w:rFonts w:ascii="Times New Roman" w:cs="Times New Roman" w:eastAsia="Times New Roman" w:hAnsi="Times New Roman"/>
          <w:sz w:val="19"/>
          <w:szCs w:val="19"/>
          <w:color w:val="auto"/>
        </w:rPr>
        <w:t>. The parties acknowledge that all references to “Scientific Games Corporation” in the Agreement will be changed to Light &amp; Wonder, Inc.</w:t>
      </w:r>
    </w:p>
    <w:p>
      <w:pPr>
        <w:spacing w:after="0" w:line="192" w:lineRule="exact"/>
        <w:rPr>
          <w:rFonts w:ascii="Times New Roman" w:cs="Times New Roman" w:eastAsia="Times New Roman" w:hAnsi="Times New Roman"/>
          <w:sz w:val="19"/>
          <w:szCs w:val="19"/>
          <w:color w:val="auto"/>
        </w:rPr>
      </w:pPr>
    </w:p>
    <w:p>
      <w:pPr>
        <w:jc w:val="both"/>
        <w:ind w:right="20" w:firstLine="656"/>
        <w:spacing w:after="0" w:line="258" w:lineRule="auto"/>
        <w:tabs>
          <w:tab w:leader="none" w:pos="128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spacing w:after="0" w:line="213" w:lineRule="exact"/>
        <w:rPr>
          <w:rFonts w:ascii="Times New Roman" w:cs="Times New Roman" w:eastAsia="Times New Roman" w:hAnsi="Times New Roman"/>
          <w:sz w:val="19"/>
          <w:szCs w:val="19"/>
          <w:color w:val="auto"/>
        </w:rPr>
      </w:pPr>
    </w:p>
    <w:p>
      <w:pPr>
        <w:ind w:firstLine="656"/>
        <w:spacing w:after="0" w:line="280" w:lineRule="auto"/>
        <w:tabs>
          <w:tab w:leader="none" w:pos="128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may be executed in counterparts, each of which shall for all purposes be deemed to be an original and all of which shall constitute the same instrument. Delivery of an executed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65" w:right="339" w:bottom="1440" w:gutter="0" w:footer="0" w:header="0"/>
        </w:sectPr>
      </w:pPr>
    </w:p>
    <w:bookmarkStart w:id="50" w:name="page51"/>
    <w:bookmarkEnd w:id="50"/>
    <w:p>
      <w:pPr>
        <w:spacing w:after="0" w:line="280" w:lineRule="auto"/>
        <w:rPr>
          <w:sz w:val="20"/>
          <w:szCs w:val="20"/>
          <w:color w:val="auto"/>
        </w:rPr>
      </w:pPr>
      <w:r>
        <w:rPr>
          <w:rFonts w:ascii="Times New Roman" w:cs="Times New Roman" w:eastAsia="Times New Roman" w:hAnsi="Times New Roman"/>
          <w:sz w:val="19"/>
          <w:szCs w:val="19"/>
          <w:color w:val="auto"/>
        </w:rPr>
        <w:t>counterpart of a signature page of this Amendment by electronic transmission shall be effective as delivery of a manually executed counterpart of this Amendment.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WITNESS WHEREOF, each of the parties hereto has duly executed this Amendment as of June 20, 2025.</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LIGHT &amp; WONDER, INC.</w:t>
      </w:r>
    </w:p>
    <w:p>
      <w:pPr>
        <w:spacing w:after="0" w:line="2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By: ________________________________</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Name: Roxane Lukas</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Title: Chief People Capability Officer</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___________________________________</w:t>
      </w:r>
    </w:p>
    <w:p>
      <w:pPr>
        <w:spacing w:after="0" w:line="1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James Sottile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2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CONSULTING AGREEMENT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This Consulting Agreement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entered into on June 20, 2025 by and between Light &amp; Wonder, Inc., with offices located at 6601 Bermuda Road, Las Vegas, NV 89119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James Sottile, 801 Easley Street, Silver Spring, MD 20910 (the “</w:t>
      </w:r>
      <w:r>
        <w:rPr>
          <w:rFonts w:ascii="Times New Roman" w:cs="Times New Roman" w:eastAsia="Times New Roman" w:hAnsi="Times New Roman"/>
          <w:sz w:val="19"/>
          <w:szCs w:val="19"/>
          <w:b w:val="1"/>
          <w:bCs w:val="1"/>
          <w:color w:val="auto"/>
        </w:rPr>
        <w:t>Consultant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RECITALS</w:t>
      </w:r>
    </w:p>
    <w:p>
      <w:pPr>
        <w:spacing w:after="0" w:line="25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WHEREAS, Consultant is party to that Employment Agreement dated August 2, 2021 with the Company (such agreement replaced a prior agreement dated September 4, 2018) under which Consultant serves as the Company’s EVP and Chief Legal Officer (“</w:t>
      </w:r>
      <w:r>
        <w:rPr>
          <w:rFonts w:ascii="Times New Roman" w:cs="Times New Roman" w:eastAsia="Times New Roman" w:hAnsi="Times New Roman"/>
          <w:sz w:val="19"/>
          <w:szCs w:val="19"/>
          <w:b w:val="1"/>
          <w:bCs w:val="1"/>
          <w:color w:val="auto"/>
        </w:rPr>
        <w:t>CLO</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WHEREAS, Consultant has decided to retire from his role as CLO as of December 31, 2025 and his employment with the Company and the Employment Agreement will end on that day;</w:t>
      </w:r>
    </w:p>
    <w:p>
      <w:pPr>
        <w:spacing w:after="0" w:line="20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9"/>
          <w:szCs w:val="19"/>
          <w:color w:val="auto"/>
        </w:rPr>
        <w:t>WHEREAS, following his retirement, the Company wishes to retain the Consultant to provide consulting services to Company beginning on the Commencement Date by entering into this Agreement;</w:t>
      </w:r>
    </w:p>
    <w:p>
      <w:pPr>
        <w:spacing w:after="0" w:line="19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NOW, THEREFORE, in consideration of the mutual promises, covenants, representations and warranties made herein and intending to be legally bound, the Parties hereto agree as follows: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1 Interpretation</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19"/>
          <w:szCs w:val="19"/>
          <w:u w:val="single" w:color="auto"/>
          <w:color w:val="auto"/>
        </w:rPr>
        <w:t>Certain Terms</w:t>
      </w:r>
      <w:r>
        <w:rPr>
          <w:rFonts w:ascii="Times New Roman" w:cs="Times New Roman" w:eastAsia="Times New Roman" w:hAnsi="Times New Roman"/>
          <w:sz w:val="19"/>
          <w:szCs w:val="19"/>
          <w:color w:val="auto"/>
        </w:rPr>
        <w:t>. As used herein, the following terms have the following meanings: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means a Person that directly, or indirectly through one or more intermediaries, controls, or is controlled by, or is under common control with, a specified Person. A Person shall be deemed to control another Person if such first Person possesses, directly or indirectly, the power to direct, or cause the direction of, the management and policies of such other Person, whether through the ownership of voting securities, by contract or otherwise.</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means the Board of Directors of the Company.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Commencement Date</w:t>
      </w:r>
      <w:r>
        <w:rPr>
          <w:rFonts w:ascii="Times New Roman" w:cs="Times New Roman" w:eastAsia="Times New Roman" w:hAnsi="Times New Roman"/>
          <w:sz w:val="19"/>
          <w:szCs w:val="19"/>
          <w:color w:val="auto"/>
        </w:rPr>
        <w:t>” is January 1, 2026.</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Confidential Information</w:t>
      </w:r>
      <w:r>
        <w:rPr>
          <w:rFonts w:ascii="Times New Roman" w:cs="Times New Roman" w:eastAsia="Times New Roman" w:hAnsi="Times New Roman"/>
          <w:sz w:val="19"/>
          <w:szCs w:val="19"/>
          <w:color w:val="auto"/>
        </w:rPr>
        <w:t>” means all non-public information concerning the Company or any of its Affiliates or their respective equity investments (whether prepared by the Company or otherwise, whether oral or written, in whatever form or data storage medium and whether or not specifically identified as “confidential”), including financial and accounting information, product-related information, plans and strategies, computer programs, code and software, technical drawings and schematics, technical expertise, know-how, processes, ideas, inventions (whether patentable or not), agreements and reports (together with all analyses, compilations, forecasts, studies, summaries, notes, data and other documents and materials, in whatever form maintained and whether prepared by the Company, the Consultant or other Persons, which contain or reflect, or are based on or generated from, in whole or in part, any such information).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 xml:space="preserve">“Employment Agreement” </w:t>
      </w:r>
      <w:r>
        <w:rPr>
          <w:rFonts w:ascii="Times New Roman" w:cs="Times New Roman" w:eastAsia="Times New Roman" w:hAnsi="Times New Roman"/>
          <w:sz w:val="19"/>
          <w:szCs w:val="19"/>
          <w:color w:val="auto"/>
        </w:rPr>
        <w:t>means Consultant’s employment agreement dated August 2, 2021.</w:t>
      </w:r>
    </w:p>
    <w:p>
      <w:pPr>
        <w:spacing w:after="0" w:line="11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Governmental Authority</w:t>
      </w:r>
      <w:r>
        <w:rPr>
          <w:rFonts w:ascii="Times New Roman" w:cs="Times New Roman" w:eastAsia="Times New Roman" w:hAnsi="Times New Roman"/>
          <w:sz w:val="19"/>
          <w:szCs w:val="19"/>
          <w:color w:val="auto"/>
        </w:rPr>
        <w:t>” means any national, supranational, foreign, federal, state, provincial, tribal, peripheral, regional, municipal or local government or any agency, instrumentality or political subdivision thereof, including any legislative, executive, judicial, regulatory or other governmental board, department, agency, authority, commission, administration, court or other body, or any official of any of the foregoing (including any gaming-related Governmental Authority).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6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Law</w:t>
      </w:r>
      <w:r>
        <w:rPr>
          <w:rFonts w:ascii="Times New Roman" w:cs="Times New Roman" w:eastAsia="Times New Roman" w:hAnsi="Times New Roman"/>
          <w:sz w:val="19"/>
          <w:szCs w:val="19"/>
          <w:color w:val="auto"/>
        </w:rPr>
        <w:t>” means any order, writ, injunction, decree, judgment, law, ordinance, decision, opinion, ruling, policy, statute, code, rule, regulation or administrative or other requirement of any Governmental Authority, in each case, as may be amended from time to time.</w:t>
      </w:r>
    </w:p>
    <w:p>
      <w:pPr>
        <w:spacing w:after="0" w:line="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means any individual (including the heirs, beneficiaries, trusts, executors, legal representatives or administrators thereof), corporation, partnership, joint venture, trust, limited liability company, limited partnership, joint stock company, unincorporated association or other entity. For the avoidance of doubt, the term includes a Governmental Authority.</w:t>
      </w:r>
    </w:p>
    <w:p>
      <w:pPr>
        <w:spacing w:after="0" w:line="7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Representative</w:t>
      </w:r>
      <w:r>
        <w:rPr>
          <w:rFonts w:ascii="Times New Roman" w:cs="Times New Roman" w:eastAsia="Times New Roman" w:hAnsi="Times New Roman"/>
          <w:sz w:val="19"/>
          <w:szCs w:val="19"/>
          <w:color w:val="auto"/>
        </w:rPr>
        <w:t>” means, with respect to any Person, any director, officer, employee, partner, member, manager, owner, agent, lawyer, accountant, auditor, professional advisor, consultant or other representative.</w:t>
      </w:r>
    </w:p>
    <w:p>
      <w:pPr>
        <w:spacing w:after="0" w:line="54" w:lineRule="exact"/>
        <w:rPr>
          <w:sz w:val="20"/>
          <w:szCs w:val="20"/>
          <w:color w:val="auto"/>
        </w:rPr>
      </w:pPr>
    </w:p>
    <w:p>
      <w:pPr>
        <w:ind w:right="1280" w:firstLine="243"/>
        <w:spacing w:after="0" w:line="363"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u w:val="single" w:color="auto"/>
          <w:color w:val="auto"/>
        </w:rPr>
        <w:t>Incorporation</w:t>
      </w:r>
      <w:r>
        <w:rPr>
          <w:rFonts w:ascii="Times New Roman" w:cs="Times New Roman" w:eastAsia="Times New Roman" w:hAnsi="Times New Roman"/>
          <w:sz w:val="19"/>
          <w:szCs w:val="19"/>
          <w:color w:val="auto"/>
        </w:rPr>
        <w:t xml:space="preserve">. The Annex to this Agreement is incorporated by reference into, and forms an integral part of, this Agreement. </w:t>
      </w:r>
      <w:r>
        <w:rPr>
          <w:rFonts w:ascii="Times New Roman" w:cs="Times New Roman" w:eastAsia="Times New Roman" w:hAnsi="Times New Roman"/>
          <w:sz w:val="19"/>
          <w:szCs w:val="19"/>
          <w:b w:val="1"/>
          <w:bCs w:val="1"/>
          <w:u w:val="single" w:color="auto"/>
          <w:color w:val="auto"/>
        </w:rPr>
        <w:t>Section 2 Engagement</w:t>
      </w:r>
    </w:p>
    <w:p>
      <w:pPr>
        <w:spacing w:after="0" w:line="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Services</w:t>
      </w:r>
      <w:r>
        <w:rPr>
          <w:rFonts w:ascii="Times New Roman" w:cs="Times New Roman" w:eastAsia="Times New Roman" w:hAnsi="Times New Roman"/>
          <w:sz w:val="19"/>
          <w:szCs w:val="19"/>
          <w:color w:val="auto"/>
        </w:rPr>
        <w:t xml:space="preserve">. Upon the terms and subject to the conditions of this Agreement, the Company hereby engages the Consultant, and the Consultant hereby accepts such engagement, as an independent contractor to provide the services set forth in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b w:val="1"/>
          <w:bCs w:val="1"/>
          <w:color w:val="auto"/>
        </w:rPr>
        <w:t>Services</w:t>
      </w:r>
      <w:r>
        <w:rPr>
          <w:rFonts w:ascii="Times New Roman" w:cs="Times New Roman" w:eastAsia="Times New Roman" w:hAnsi="Times New Roman"/>
          <w:sz w:val="19"/>
          <w:szCs w:val="19"/>
          <w:color w:val="auto"/>
        </w:rPr>
        <w:t xml:space="preserve">”). Unless otherwise expressly specified in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the Consultant shall furnish, at Consultant’s own expense, any equipment, supplies and other materials necessary or advisable to perform the Services. Subject to the provisions of this Agreement, the Company shall not control the manner or means by which the Consultant performs the Services.</w:t>
      </w:r>
    </w:p>
    <w:p>
      <w:pPr>
        <w:spacing w:after="0" w:line="81" w:lineRule="exact"/>
        <w:rPr>
          <w:sz w:val="20"/>
          <w:szCs w:val="20"/>
          <w:color w:val="auto"/>
        </w:rPr>
      </w:pPr>
    </w:p>
    <w:p>
      <w:pPr>
        <w:jc w:val="both"/>
        <w:ind w:firstLine="259"/>
        <w:spacing w:after="0" w:line="254"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Relationship of Parties</w:t>
      </w:r>
      <w:r>
        <w:rPr>
          <w:rFonts w:ascii="Times New Roman" w:cs="Times New Roman" w:eastAsia="Times New Roman" w:hAnsi="Times New Roman"/>
          <w:sz w:val="19"/>
          <w:szCs w:val="19"/>
          <w:color w:val="auto"/>
        </w:rPr>
        <w:t>. The Consultant is an independent contractor of the Company, and this Agreement shall not be construed to create any association, partnership, joint venture, employee or agency relationship between the Consultant and the Company (or any of its Affiliates) for any purpose. Except to the extent specifically authorized in advance by the Company in writing, the Consultant (a) shall have no authority (and shall not hold himself out as having authority) to bind or act on behalf or in the name of the Company or any of its Affiliates, (b) shall not make any agreements or representations on behalf of the Company or any of its Affiliates and (c) without limiting the generality of the foregoing, shall not represent the Company or any of its Affiliates as a lobbyist or agent to any Governmental Authority.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3 Compensation</w:t>
      </w:r>
    </w:p>
    <w:p>
      <w:pPr>
        <w:spacing w:after="0" w:line="123"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As consideration for the provision of Services and the rights granted to the Company under this Agreement, effective as of the Commencement Date, the Company shall pay the Consultant $11,959 every month (i.e., $143,508 per annum) for the Services provided hereunder, subject to and in accordance with the terms of this Agreement.</w:t>
      </w:r>
    </w:p>
    <w:p>
      <w:pPr>
        <w:spacing w:after="0" w:line="78"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Expense Reimbursement</w:t>
      </w:r>
      <w:r>
        <w:rPr>
          <w:rFonts w:ascii="Times New Roman" w:cs="Times New Roman" w:eastAsia="Times New Roman" w:hAnsi="Times New Roman"/>
          <w:sz w:val="19"/>
          <w:szCs w:val="19"/>
          <w:color w:val="auto"/>
        </w:rPr>
        <w:t>. The Company agrees to reimburse the Consultant for reasonable and appropriately documented out-of-pocket expenses actually incurred and paid by the Consultant but only to the extent (a) directly related to the Consultant’s performance of the Services, and (b) incurred in accordance with the Company’s expense reimbursement policies.</w:t>
      </w:r>
    </w:p>
    <w:p>
      <w:pPr>
        <w:spacing w:after="0" w:line="70"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19"/>
          <w:szCs w:val="19"/>
          <w:u w:val="single" w:color="auto"/>
          <w:color w:val="auto"/>
        </w:rPr>
        <w:t>Withholding, etc</w:t>
      </w:r>
      <w:r>
        <w:rPr>
          <w:rFonts w:ascii="Times New Roman" w:cs="Times New Roman" w:eastAsia="Times New Roman" w:hAnsi="Times New Roman"/>
          <w:sz w:val="19"/>
          <w:szCs w:val="19"/>
          <w:color w:val="auto"/>
        </w:rPr>
        <w:t>. Amounts payable under this Agreement shall be without deduction or withholding of any kind other than any tax or other deduction or withholding determined by the Company to be required by Law. Consultant shall be responsible for, and shall indemnify the Company against, any taxes or contributions, including penalties and interest, owed by Consultant.</w:t>
      </w:r>
    </w:p>
    <w:p>
      <w:pPr>
        <w:spacing w:after="0" w:line="78" w:lineRule="exact"/>
        <w:rPr>
          <w:sz w:val="20"/>
          <w:szCs w:val="20"/>
          <w:color w:val="auto"/>
        </w:rPr>
      </w:pPr>
    </w:p>
    <w:p>
      <w:pPr>
        <w:jc w:val="both"/>
        <w:ind w:firstLine="243"/>
        <w:spacing w:after="0" w:line="280"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Company makes no representations or warranties and shall have no responsibility regarding the tax implications of the compensation and benefits to be paid to the Consultant under this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9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4 Certain Agreements</w:t>
      </w:r>
    </w:p>
    <w:p>
      <w:pPr>
        <w:spacing w:after="0" w:line="123" w:lineRule="exact"/>
        <w:rPr>
          <w:sz w:val="20"/>
          <w:szCs w:val="20"/>
          <w:color w:val="auto"/>
        </w:rPr>
      </w:pPr>
    </w:p>
    <w:p>
      <w:pPr>
        <w:jc w:val="both"/>
        <w:ind w:firstLine="259"/>
        <w:spacing w:after="0" w:line="256"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u w:val="single" w:color="auto"/>
          <w:color w:val="auto"/>
        </w:rPr>
        <w:t>Restrictive Covenants</w:t>
      </w:r>
      <w:r>
        <w:rPr>
          <w:rFonts w:ascii="Times New Roman" w:cs="Times New Roman" w:eastAsia="Times New Roman" w:hAnsi="Times New Roman"/>
          <w:sz w:val="19"/>
          <w:szCs w:val="19"/>
          <w:color w:val="auto"/>
        </w:rPr>
        <w:t>. The Consultant acknowledges that he has continuing obligations to the Company as set forth in Section 5 of his Employment Agreement, which continue in full force and effect after his retirement from employment with the Company according to their terms. In addition to those obligations, during the Term and any extension thereof, Consultant agrees not to enter into any employment or engagement that creates a conflict of interest with the Company or any of its Affiliates, without the Company's prior written consent.</w:t>
      </w:r>
    </w:p>
    <w:p>
      <w:pPr>
        <w:spacing w:after="0" w:line="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The Consultant shall (a) hold the Confidential Information in confidence and protect it in accordance with the same degree of care with which he protects his own confidential information of like importance which he does not wish to disclose, but in no event less than reasonable care, (b) use the Confidential Information solely to the extent necessary in the performance of the Services and not for any other purpose, (c) not disclose any Confidential Information to any Person (other than the Company and its Affiliates), (d) upon the request of the Company, promptly return all Confidential Information to the Company (or, at the election of the Company, destroy such Confidential Information) without retaining any copies thereof (and provide certification of his compliance with this clause (d)) and (e) not reverse engineer, decompile, test or analyze the Confidential Information without the prior written consent of the Company. In the event that the Consultant is requested or required by law, judicial or governmental order, deposition, interrogatory, request for documents, subpoena, civil investigative demand or other legal process to disclose any of the Confidential Information, the Consultant must first provide the Company with prompt written notice of such requirement so that the Company (or any of its Affiliates) may seek an appropriate protective order, unless, as confirmed by the opinion of the Consultant’s counsel, providing such notice would itself constitute a violation of law. If the Consultant is nevertheless legally required (as confirmed by the opinion of the Consultant’s counsel) to disclose Confidential Information, then the Consultant shall only disclose that portion of the Confidential Information that is legally required to be disclosed (as confirmed by the opinion of the Consultant’s counsel). In such an event, the Consultant shall take reasonable efforts to obtain assurance that confidential treatment will be accorded to that portion of the Confidential Information being disclosed. In no event shall the Consultant oppose action by the Company (or any of its Affiliates) to obtain an appropriate protective order or other reliable assurance that confidential treatment will be accorded the Confidential Information.</w:t>
      </w:r>
    </w:p>
    <w:p>
      <w:pPr>
        <w:spacing w:after="0" w:line="84" w:lineRule="exact"/>
        <w:rPr>
          <w:sz w:val="20"/>
          <w:szCs w:val="20"/>
          <w:color w:val="auto"/>
        </w:rPr>
      </w:pPr>
    </w:p>
    <w:p>
      <w:pPr>
        <w:jc w:val="both"/>
        <w:ind w:firstLine="259"/>
        <w:spacing w:after="0" w:line="251" w:lineRule="auto"/>
        <w:rPr>
          <w:sz w:val="20"/>
          <w:szCs w:val="20"/>
          <w:color w:val="auto"/>
        </w:rPr>
      </w:pPr>
      <w:r>
        <w:rPr>
          <w:rFonts w:ascii="Times New Roman" w:cs="Times New Roman" w:eastAsia="Times New Roman" w:hAnsi="Times New Roman"/>
          <w:sz w:val="19"/>
          <w:szCs w:val="19"/>
          <w:color w:val="auto"/>
        </w:rPr>
        <w:t xml:space="preserve">4.3 </w:t>
      </w:r>
      <w:r>
        <w:rPr>
          <w:rFonts w:ascii="Times New Roman" w:cs="Times New Roman" w:eastAsia="Times New Roman" w:hAnsi="Times New Roman"/>
          <w:sz w:val="19"/>
          <w:szCs w:val="19"/>
          <w:u w:val="single" w:color="auto"/>
          <w:color w:val="auto"/>
        </w:rPr>
        <w:t>Regulatory Compliance</w:t>
      </w:r>
      <w:r>
        <w:rPr>
          <w:rFonts w:ascii="Times New Roman" w:cs="Times New Roman" w:eastAsia="Times New Roman" w:hAnsi="Times New Roman"/>
          <w:sz w:val="19"/>
          <w:szCs w:val="19"/>
          <w:color w:val="auto"/>
        </w:rPr>
        <w:t>. The Consultant acknowledges that the Company and/or its Affiliates are subject to gaming licensing requirements of various jurisdictions. The Consultant shall cooperate fully with the Company and its Affiliates in providing to them any information of whatever nature that any of them deems necessary or appropriate in assuring itself that the Consultant possesses the good character, honesty, integrity, and reputation applicable to those engaged in the gaming industry and represents that any such information shall be complete and accurate. If, during the Term, the Company (or any of its Affiliates) is notified (formally or informally) by any Governmental Authority that the engagement of, or conducting business with, the Consultant may or will jeopardize any license or ability to be licensed of the Company (or any of its Affiliates) or if the Company (or any of its Affiliates) concludes that the Consultant may fail to meet the above criteria (or the compliance committee of the Company or any of its Affiliates otherwise raises an objection with respect to the Consultant), the Company may immediately terminate this Agreement upon written notice to the Consultant.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Furthermore, the Consultant represents, warrants and covenants to the Company that he (1) will maintain complete and accurate books and records,</w:t>
      </w:r>
    </w:p>
    <w:p>
      <w:pPr>
        <w:spacing w:after="0" w:line="26" w:lineRule="exact"/>
        <w:rPr>
          <w:sz w:val="20"/>
          <w:szCs w:val="20"/>
          <w:color w:val="auto"/>
        </w:rPr>
      </w:pPr>
    </w:p>
    <w:p>
      <w:pPr>
        <w:jc w:val="both"/>
        <w:ind w:firstLine="8"/>
        <w:spacing w:after="0" w:line="251" w:lineRule="auto"/>
        <w:tabs>
          <w:tab w:leader="none" w:pos="31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comply with all applicable laws, rules and regulations, including, but not limited to, those relating to anti-corruption, anti-money laundering, competition, licensing and registration, (3) has not offered or paid, and will not offer or pay, directly or indirectly, (a) anything of value to any public official or candidate for political office, or any relative or agent thereof, for purposes of obtaining any official action or benefit relating in any way to this Agreement, or (b)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9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commission or finder’s or referral fee to any person or entity in connection with this Agreement or any activities on behalf of the Company, and (4) acknowledge receipt of a copy of the Company’s Code of Business Conduct and that he will abide by such Code of Business Conduct.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5 Termination</w:t>
      </w:r>
    </w:p>
    <w:p>
      <w:pPr>
        <w:spacing w:after="0" w:line="110"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The term of this Agreement shall commence on the Commencement Date and shall continue until December 31, 2026, unless earlier terminated by the Company in accordance with Section 5.2 (the “</w:t>
      </w:r>
      <w:r>
        <w:rPr>
          <w:rFonts w:ascii="Times New Roman" w:cs="Times New Roman" w:eastAsia="Times New Roman" w:hAnsi="Times New Roman"/>
          <w:sz w:val="19"/>
          <w:szCs w:val="19"/>
          <w:b w:val="1"/>
          <w:bCs w:val="1"/>
          <w:color w:val="auto"/>
        </w:rPr>
        <w:t>Term</w:t>
      </w:r>
      <w:r>
        <w:rPr>
          <w:rFonts w:ascii="Times New Roman" w:cs="Times New Roman" w:eastAsia="Times New Roman" w:hAnsi="Times New Roman"/>
          <w:sz w:val="19"/>
          <w:szCs w:val="19"/>
          <w:color w:val="auto"/>
        </w:rPr>
        <w:t>”). At the end of the Term, the Term may be extended upon the mutual written agreement of the Parties.</w:t>
      </w:r>
    </w:p>
    <w:p>
      <w:pPr>
        <w:spacing w:after="0" w:line="70" w:lineRule="exact"/>
        <w:rPr>
          <w:sz w:val="20"/>
          <w:szCs w:val="20"/>
          <w:color w:val="auto"/>
        </w:rPr>
      </w:pPr>
    </w:p>
    <w:p>
      <w:pPr>
        <w:jc w:val="both"/>
        <w:ind w:firstLine="259"/>
        <w:spacing w:after="0" w:line="255" w:lineRule="auto"/>
        <w:rPr>
          <w:sz w:val="20"/>
          <w:szCs w:val="20"/>
          <w:color w:val="auto"/>
        </w:rPr>
      </w:pPr>
      <w:r>
        <w:rPr>
          <w:rFonts w:ascii="Times New Roman" w:cs="Times New Roman" w:eastAsia="Times New Roman" w:hAnsi="Times New Roman"/>
          <w:sz w:val="19"/>
          <w:szCs w:val="19"/>
          <w:color w:val="auto"/>
        </w:rPr>
        <w:t xml:space="preserve">5.2 </w:t>
      </w:r>
      <w:r>
        <w:rPr>
          <w:rFonts w:ascii="Times New Roman" w:cs="Times New Roman" w:eastAsia="Times New Roman" w:hAnsi="Times New Roman"/>
          <w:sz w:val="19"/>
          <w:szCs w:val="19"/>
          <w:u w:val="single" w:color="auto"/>
          <w:color w:val="auto"/>
        </w:rPr>
        <w:t>Early Termination</w:t>
      </w:r>
      <w:r>
        <w:rPr>
          <w:rFonts w:ascii="Times New Roman" w:cs="Times New Roman" w:eastAsia="Times New Roman" w:hAnsi="Times New Roman"/>
          <w:sz w:val="19"/>
          <w:szCs w:val="19"/>
          <w:color w:val="auto"/>
        </w:rPr>
        <w:t>. Additionally, the Company may terminate this Agreement (a) effective upon written notice to the Consultant, in the event the Consultant breaches this Agreement and such breach is incapable of cure or, with respect to a breach capable of cure, the Consultant fails to cure such breach to the Company's reasonable satisfaction within ten (10) days after receipt of written notice of such breach, or (b) effective upon written notice to the Consultant as contemplated by Section 4.3 or in the event the Consultant provided any false or misleading information in connection with any background or security checks.</w:t>
      </w:r>
    </w:p>
    <w:p>
      <w:pPr>
        <w:spacing w:after="0" w:line="81" w:lineRule="exact"/>
        <w:rPr>
          <w:sz w:val="20"/>
          <w:szCs w:val="20"/>
          <w:color w:val="auto"/>
        </w:rPr>
      </w:pPr>
    </w:p>
    <w:p>
      <w:pPr>
        <w:jc w:val="both"/>
        <w:ind w:firstLine="259"/>
        <w:spacing w:after="0" w:line="256"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Notwithstanding the foregoing, (a) Sections 1, 2.2, 4, 5 and 6 and any other Sections of this Agreement that expressly or by implication are intended to continue in effect after the expiration or earlier termination of this Agreement, shall continue in effect after the expiration or earlier termination of this Agreement in accordance with their terms, and (b) any termination of this Agreement shall not affect any accrued rights or liabilities of either Party.</w:t>
      </w:r>
    </w:p>
    <w:p>
      <w:pPr>
        <w:spacing w:after="0" w:line="80" w:lineRule="exact"/>
        <w:rPr>
          <w:sz w:val="20"/>
          <w:szCs w:val="20"/>
          <w:color w:val="auto"/>
        </w:rPr>
      </w:pPr>
    </w:p>
    <w:p>
      <w:pPr>
        <w:jc w:val="both"/>
        <w:ind w:firstLine="259"/>
        <w:spacing w:after="0" w:line="280"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Payments Upon Early Termination</w:t>
      </w:r>
      <w:r>
        <w:rPr>
          <w:rFonts w:ascii="Times New Roman" w:cs="Times New Roman" w:eastAsia="Times New Roman" w:hAnsi="Times New Roman"/>
          <w:sz w:val="19"/>
          <w:szCs w:val="19"/>
          <w:color w:val="auto"/>
        </w:rPr>
        <w:t>. In the event that the Company terminates this Agreement, all future payments of consulting fees due hereunder shall cease as of the date of such termination.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Section 6 Miscellaneous</w:t>
      </w:r>
    </w:p>
    <w:p>
      <w:pPr>
        <w:spacing w:after="0" w:line="110"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All notices, approvals and other communications required or contemplated under this Agreement shall be in writing and shall be deemed to have been duly given (a) when received if delivered personally, (b) when sent by cable, telecopy, telegram or facsimile (which is confirmed by the intended recipient), and (c) when sent by overnight courier service or when mailed by certified or registered mail, return receipt requested, with postage prepaid, to the Parties at the following addresses: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Consultant: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James Sottile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801 Easley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Silver Spring, MD 20910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the case of the Company: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Light &amp; Wonder,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6601 Bermuda Road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Las Vegas, NV 89119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Chief Legal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such other persons or addresses as either Party may from time to time designate by notice to the other.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9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6" w:lineRule="exact"/>
        <w:rPr>
          <w:sz w:val="20"/>
          <w:szCs w:val="20"/>
          <w:color w:val="auto"/>
        </w:rPr>
      </w:pPr>
    </w:p>
    <w:p>
      <w:pPr>
        <w:jc w:val="both"/>
        <w:ind w:firstLine="259"/>
        <w:spacing w:after="0" w:line="255"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Assignment; Binding Effect</w:t>
      </w:r>
      <w:r>
        <w:rPr>
          <w:rFonts w:ascii="Times New Roman" w:cs="Times New Roman" w:eastAsia="Times New Roman" w:hAnsi="Times New Roman"/>
          <w:sz w:val="19"/>
          <w:szCs w:val="19"/>
          <w:color w:val="auto"/>
        </w:rPr>
        <w:t xml:space="preserve">. No Party shall assign or transfer or purport to assign or transfer any of its rights or obligations under this Agreement without the prior written consent of the other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shall be permitted to (a) assign or transfer any of its rights or obligations hereunder to any Affiliate of the Company and (b) pledge its rights or interest under this Agreement. This Agreement shall inure to the benefit of the Parties and their respective permitted successors and assigns and is binding upon the Parties and their respective successors and assigns.</w:t>
      </w:r>
    </w:p>
    <w:p>
      <w:pPr>
        <w:spacing w:after="0" w:line="81"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9"/>
          <w:szCs w:val="19"/>
          <w:color w:val="auto"/>
        </w:rPr>
        <w:t xml:space="preserve">6.3 </w:t>
      </w:r>
      <w:r>
        <w:rPr>
          <w:rFonts w:ascii="Times New Roman" w:cs="Times New Roman" w:eastAsia="Times New Roman" w:hAnsi="Times New Roman"/>
          <w:sz w:val="19"/>
          <w:szCs w:val="19"/>
          <w:u w:val="single" w:color="auto"/>
          <w:color w:val="auto"/>
        </w:rPr>
        <w:t>Amendment; Waiver</w:t>
      </w:r>
      <w:r>
        <w:rPr>
          <w:rFonts w:ascii="Times New Roman" w:cs="Times New Roman" w:eastAsia="Times New Roman" w:hAnsi="Times New Roman"/>
          <w:sz w:val="19"/>
          <w:szCs w:val="19"/>
          <w:color w:val="auto"/>
        </w:rPr>
        <w:t>. This Agreement may be amended, changed or supplemented only by a written agreement executed and delivered by the Parties. Any waiver of, or consent to depart from, the requirements of any provision of this Agreement shall be effective only if it is in writing and signed by the Party giving it, and only in the specific instance and for the specific purpose for which it has been given.</w:t>
      </w:r>
    </w:p>
    <w:p>
      <w:pPr>
        <w:spacing w:after="0" w:line="57"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9"/>
          <w:szCs w:val="19"/>
          <w:color w:val="auto"/>
        </w:rPr>
        <w:t xml:space="preserve">6.4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(including the Annex) constitutes the entire agreement between the Parties pertaining to the subject matter hereof and supersedes all prior agreements, negotiations, discussions and understandings, written or oral, between the Parties with respect to such subject matter.</w:t>
      </w:r>
    </w:p>
    <w:p>
      <w:pPr>
        <w:spacing w:after="0" w:line="70" w:lineRule="exact"/>
        <w:rPr>
          <w:sz w:val="20"/>
          <w:szCs w:val="20"/>
          <w:color w:val="auto"/>
        </w:rPr>
      </w:pPr>
    </w:p>
    <w:p>
      <w:pPr>
        <w:jc w:val="both"/>
        <w:ind w:firstLine="259"/>
        <w:spacing w:after="0" w:line="256" w:lineRule="auto"/>
        <w:rPr>
          <w:sz w:val="20"/>
          <w:szCs w:val="20"/>
          <w:color w:val="auto"/>
        </w:rPr>
      </w:pPr>
      <w:r>
        <w:rPr>
          <w:rFonts w:ascii="Times New Roman" w:cs="Times New Roman" w:eastAsia="Times New Roman" w:hAnsi="Times New Roman"/>
          <w:sz w:val="19"/>
          <w:szCs w:val="19"/>
          <w:color w:val="auto"/>
        </w:rPr>
        <w:t xml:space="preserve">6.5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The Parties shall negotiate in good faith to amend this Agreement to give effect to the purpose and intent of the provision found to be invalid, illegal or unenforceable.</w:t>
      </w:r>
    </w:p>
    <w:p>
      <w:pPr>
        <w:spacing w:after="0" w:line="80" w:lineRule="exact"/>
        <w:rPr>
          <w:sz w:val="20"/>
          <w:szCs w:val="20"/>
          <w:color w:val="auto"/>
        </w:rPr>
      </w:pPr>
    </w:p>
    <w:p>
      <w:pPr>
        <w:jc w:val="both"/>
        <w:ind w:firstLine="259"/>
        <w:spacing w:after="0" w:line="251" w:lineRule="auto"/>
        <w:rPr>
          <w:sz w:val="20"/>
          <w:szCs w:val="20"/>
          <w:color w:val="auto"/>
        </w:rPr>
      </w:pPr>
      <w:r>
        <w:rPr>
          <w:rFonts w:ascii="Times New Roman" w:cs="Times New Roman" w:eastAsia="Times New Roman" w:hAnsi="Times New Roman"/>
          <w:sz w:val="19"/>
          <w:szCs w:val="19"/>
          <w:color w:val="auto"/>
        </w:rPr>
        <w:t xml:space="preserve">6.6 </w:t>
      </w:r>
      <w:r>
        <w:rPr>
          <w:rFonts w:ascii="Times New Roman" w:cs="Times New Roman" w:eastAsia="Times New Roman" w:hAnsi="Times New Roman"/>
          <w:sz w:val="19"/>
          <w:szCs w:val="19"/>
          <w:u w:val="single" w:color="auto"/>
          <w:color w:val="auto"/>
        </w:rPr>
        <w:t>Governing Law; Dispute Resolution</w:t>
      </w:r>
      <w:r>
        <w:rPr>
          <w:rFonts w:ascii="Times New Roman" w:cs="Times New Roman" w:eastAsia="Times New Roman" w:hAnsi="Times New Roman"/>
          <w:sz w:val="19"/>
          <w:szCs w:val="19"/>
          <w:color w:val="auto"/>
        </w:rPr>
        <w:t>. This Agreement shall be governed by and construed in accordance with the laws of the State of Nevada applicable to agreements made and to be wholly performed within that State, without regard to its conflict of laws provisions. The parties agree that any controversy or claim not resolved by the Parties arising out of or relating to this Agreement shall be settled by arbitration in accordance with the Rules of the American Arbitration Association. Venue for the conduct of the arbitration shall be Las Vegas, Nevada, except that, at the direction of the arbitral tribunal or with the consent of the Parties, particular hearings in aid of such arbitration may be held in other places. Judgment upon any award rendered by the arbitrator(s) may be entered in any court having jurisdiction there. The Parties agree that the factual findings of the arbitral tribunal shall be final absent manifest or material error and rulings on questions of Law or mixed questions of fact and Law shall be reviewed under the “clearly erroneous” standard of review and not under a “manifest disregard of the law” or other standard, notwithstanding any Law concerning such standard to the contrary. Except for injunctive or other equitable relief necessary to enforce the Agreement, the remedies expressly provided herein shall constitute the parties’ sole and exclusive remedies, and all other remedies which might be otherwise available under the Law of any jurisdiction are hereby waived by both parties.</w:t>
      </w:r>
    </w:p>
    <w:p>
      <w:pPr>
        <w:spacing w:after="0" w:line="92" w:lineRule="exact"/>
        <w:rPr>
          <w:sz w:val="20"/>
          <w:szCs w:val="20"/>
          <w:color w:val="auto"/>
        </w:rPr>
      </w:pPr>
    </w:p>
    <w:p>
      <w:pPr>
        <w:jc w:val="both"/>
        <w:ind w:firstLine="259"/>
        <w:spacing w:after="0" w:line="280" w:lineRule="auto"/>
        <w:rPr>
          <w:sz w:val="20"/>
          <w:szCs w:val="20"/>
          <w:color w:val="auto"/>
        </w:rPr>
      </w:pPr>
      <w:r>
        <w:rPr>
          <w:rFonts w:ascii="Times New Roman" w:cs="Times New Roman" w:eastAsia="Times New Roman" w:hAnsi="Times New Roman"/>
          <w:sz w:val="19"/>
          <w:szCs w:val="19"/>
          <w:color w:val="auto"/>
        </w:rPr>
        <w:t xml:space="preserve">6.7 </w:t>
      </w: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Except as otherwise provided in this Agreement, each Party is responsible for its own costs and expenses incurred in connection with performing and observing its obligations and covenants under this Agreement.</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which, taken together, constitute one and the same agreement.</w:t>
      </w:r>
    </w:p>
    <w:p>
      <w:pPr>
        <w:spacing w:after="0" w:line="131" w:lineRule="exact"/>
        <w:rPr>
          <w:sz w:val="20"/>
          <w:szCs w:val="20"/>
          <w:color w:val="auto"/>
        </w:rPr>
      </w:pPr>
    </w:p>
    <w:p>
      <w:pPr>
        <w:jc w:val="both"/>
        <w:ind w:firstLine="259"/>
        <w:spacing w:after="0" w:line="280" w:lineRule="auto"/>
        <w:rPr>
          <w:sz w:val="20"/>
          <w:szCs w:val="20"/>
          <w:color w:val="auto"/>
        </w:rPr>
      </w:pPr>
      <w:r>
        <w:rPr>
          <w:rFonts w:ascii="Times New Roman" w:cs="Times New Roman" w:eastAsia="Times New Roman" w:hAnsi="Times New Roman"/>
          <w:sz w:val="19"/>
          <w:szCs w:val="19"/>
          <w:color w:val="auto"/>
        </w:rPr>
        <w:t xml:space="preserve">6.9 </w:t>
      </w:r>
      <w:r>
        <w:rPr>
          <w:rFonts w:ascii="Times New Roman" w:cs="Times New Roman" w:eastAsia="Times New Roman" w:hAnsi="Times New Roman"/>
          <w:sz w:val="19"/>
          <w:szCs w:val="19"/>
          <w:u w:val="single" w:color="auto"/>
          <w:color w:val="auto"/>
        </w:rPr>
        <w:t>No Third Party Beneficiaries</w:t>
      </w:r>
      <w:r>
        <w:rPr>
          <w:rFonts w:ascii="Times New Roman" w:cs="Times New Roman" w:eastAsia="Times New Roman" w:hAnsi="Times New Roman"/>
          <w:sz w:val="19"/>
          <w:szCs w:val="19"/>
          <w:color w:val="auto"/>
        </w:rPr>
        <w:t>. Except as expressly contemplated by this Agreement, nothing in this Agreement shall confer any rights upon any Person other than the Parties and their respective successors and permitted assigns.</w:t>
      </w:r>
    </w:p>
    <w:p>
      <w:pPr>
        <w:spacing w:after="0" w:line="57" w:lineRule="exact"/>
        <w:rPr>
          <w:sz w:val="20"/>
          <w:szCs w:val="20"/>
          <w:color w:val="auto"/>
        </w:rPr>
      </w:pPr>
    </w:p>
    <w:p>
      <w:pPr>
        <w:jc w:val="both"/>
        <w:ind w:firstLine="259"/>
        <w:spacing w:after="0" w:line="280" w:lineRule="auto"/>
        <w:rPr>
          <w:sz w:val="20"/>
          <w:szCs w:val="20"/>
          <w:color w:val="auto"/>
        </w:rPr>
      </w:pPr>
      <w:r>
        <w:rPr>
          <w:rFonts w:ascii="Times New Roman" w:cs="Times New Roman" w:eastAsia="Times New Roman" w:hAnsi="Times New Roman"/>
          <w:sz w:val="19"/>
          <w:szCs w:val="19"/>
          <w:color w:val="auto"/>
        </w:rPr>
        <w:t>IN WITNESS WHEREOF, the Company and the Consultant have each caused this Agreement to be duly executed pursuant to due authorization, all as of the day and year first above written.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[Signatures follow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9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Light &amp; Wonder, Inc.</w:t>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By: _________________________</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Name: Roxane Lukas</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Chief People Capability Officer</w:t>
      </w:r>
    </w:p>
    <w:p>
      <w:pPr>
        <w:spacing w:after="0" w:line="200" w:lineRule="exact"/>
        <w:rPr>
          <w:sz w:val="20"/>
          <w:szCs w:val="20"/>
          <w:color w:val="auto"/>
        </w:rPr>
      </w:pPr>
    </w:p>
    <w:p>
      <w:pPr>
        <w:spacing w:after="0" w:line="2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Consultant:</w:t>
      </w:r>
    </w:p>
    <w:p>
      <w:pPr>
        <w:spacing w:after="0" w:line="200" w:lineRule="exact"/>
        <w:rPr>
          <w:sz w:val="20"/>
          <w:szCs w:val="20"/>
          <w:color w:val="auto"/>
        </w:rPr>
      </w:pPr>
    </w:p>
    <w:p>
      <w:pPr>
        <w:spacing w:after="0" w:line="2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_________________________</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James Sottile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139"/>
          </w:cols>
          <w:pgMar w:left="320" w:top="59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9"/>
          <w:szCs w:val="19"/>
          <w:i w:val="1"/>
          <w:iCs w:val="1"/>
          <w:color w:val="auto"/>
        </w:rPr>
        <w:t>Execution Version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Annex A</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Services</w:t>
      </w:r>
    </w:p>
    <w:p>
      <w:pPr>
        <w:spacing w:after="0" w:line="200" w:lineRule="exact"/>
        <w:rPr>
          <w:sz w:val="20"/>
          <w:szCs w:val="20"/>
          <w:color w:val="auto"/>
        </w:rPr>
      </w:pPr>
    </w:p>
    <w:p>
      <w:pPr>
        <w:spacing w:after="0" w:line="27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Consultant will provide advice and support to the Company. The expected time commitment is anticipated to be an average of the equivalent of one day per week but will vary from week to week, with some weeks requiring more hours and some weeks requiring fewer.</w:t>
      </w:r>
    </w:p>
    <w:p>
      <w:pPr>
        <w:spacing w:after="0" w:line="7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9"/>
          <w:szCs w:val="19"/>
          <w:color w:val="auto"/>
        </w:rPr>
        <w:t>Consultant will primarily interact with the Company’s Board, CEO, CLO, CPCO and the SVP/Deputy General Counsels overseeing the Litigation function and the Securities/Corporate Governance functions.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595"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to Amended and Restated Consulting Agreement</w:t>
      </w:r>
    </w:p>
    <w:p>
      <w:pPr>
        <w:spacing w:after="0" w:line="23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This Amendment to the Amended and Restated Consulting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effective as of June 23, 2025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by and between Light &amp; Wonder, Inc., a Nevada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Jamie Odell Pty Ltd.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and Jamie Odell, in his individual capacity.</w:t>
      </w:r>
    </w:p>
    <w:p>
      <w:pPr>
        <w:spacing w:after="0" w:line="21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WHEREAS, Consultant was a party to that Consulting Agreement dated May 16, 2019 with the Company (the “</w:t>
      </w:r>
      <w:r>
        <w:rPr>
          <w:rFonts w:ascii="Times New Roman" w:cs="Times New Roman" w:eastAsia="Times New Roman" w:hAnsi="Times New Roman"/>
          <w:sz w:val="20"/>
          <w:szCs w:val="20"/>
          <w:u w:val="single" w:color="auto"/>
          <w:color w:val="auto"/>
        </w:rPr>
        <w:t>Prior Agreement</w:t>
      </w:r>
      <w:r>
        <w:rPr>
          <w:rFonts w:ascii="Times New Roman" w:cs="Times New Roman" w:eastAsia="Times New Roman" w:hAnsi="Times New Roman"/>
          <w:sz w:val="20"/>
          <w:szCs w:val="20"/>
          <w:color w:val="auto"/>
        </w:rPr>
        <w:t>”) under which Consultant provided consulting services to the Company;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WHEREAS, the parties entered into an Amended and Restated Consulting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of October 1, 2020, which Agreement was amended effective as of October 1, 2023;</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Jamie Odell, in his individual capacity, was a party to the Agreement as “Principal” of the Consultant;</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WHEREAS, Consultant wishes to assign the Agreement to Jamie Odell, in his individual capacity, and will no longer be a party to the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and Jamie Odell agree to such assignment as set forth below;</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benefits to be derived herefrom and other good and valuable consideration, the receipt and sufficiency of which are hereby acknowledged, the Parties agree as follows:</w:t>
      </w:r>
    </w:p>
    <w:p>
      <w:pPr>
        <w:spacing w:after="0" w:line="186" w:lineRule="exact"/>
        <w:rPr>
          <w:sz w:val="20"/>
          <w:szCs w:val="20"/>
          <w:color w:val="auto"/>
        </w:rPr>
      </w:pPr>
    </w:p>
    <w:p>
      <w:pPr>
        <w:jc w:val="both"/>
        <w:ind w:firstLine="656"/>
        <w:spacing w:after="0"/>
        <w:tabs>
          <w:tab w:leader="none" w:pos="12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of Agreement.</w:t>
      </w:r>
      <w:r>
        <w:rPr>
          <w:rFonts w:ascii="Times New Roman" w:cs="Times New Roman" w:eastAsia="Times New Roman" w:hAnsi="Times New Roman"/>
          <w:sz w:val="20"/>
          <w:szCs w:val="20"/>
          <w:color w:val="auto"/>
        </w:rPr>
        <w:t xml:space="preserve"> Effective as of the Amendment Effective Date, Consultant hereby assigns all of its rights and obligations under the Agreement to Jamie Odell, in his individual capacity. Jamie Odell, in his individual capacity, shall replace Jame Odell Pty Ltd. throughout the Agreement. Company consents to such assignment, as required by Section 6.2 of the Agreement.</w:t>
      </w:r>
    </w:p>
    <w:p>
      <w:pPr>
        <w:spacing w:after="0" w:line="20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2.3 of the Agreement</w:t>
      </w:r>
      <w:r>
        <w:rPr>
          <w:rFonts w:ascii="Times New Roman" w:cs="Times New Roman" w:eastAsia="Times New Roman" w:hAnsi="Times New Roman"/>
          <w:sz w:val="20"/>
          <w:szCs w:val="20"/>
          <w:color w:val="auto"/>
        </w:rPr>
        <w:t>. Section 2.3 of the Agreement shall be deleted and replaced with the following:</w:t>
      </w:r>
    </w:p>
    <w:p>
      <w:pPr>
        <w:spacing w:after="0" w:line="229"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0"/>
          <w:szCs w:val="20"/>
          <w:u w:val="single" w:color="auto"/>
          <w:color w:val="auto"/>
        </w:rPr>
        <w:t>Relationship to Role as Chair of the Board and Director</w:t>
      </w:r>
      <w:r>
        <w:rPr>
          <w:rFonts w:ascii="Times New Roman" w:cs="Times New Roman" w:eastAsia="Times New Roman" w:hAnsi="Times New Roman"/>
          <w:sz w:val="20"/>
          <w:szCs w:val="20"/>
          <w:color w:val="auto"/>
        </w:rPr>
        <w:t>. For the avoidance of doubt, Jamie Odell’s engagement hereunder to provide the Services shall be separate and distinct from his role and duties as Chair of the Board of Directors of the Company, as provided for under the Company’s Amended and Restated Bylaws, and as a member of the Board of Directors of the Company generally (together, the “</w:t>
      </w:r>
      <w:r>
        <w:rPr>
          <w:rFonts w:ascii="Times New Roman" w:cs="Times New Roman" w:eastAsia="Times New Roman" w:hAnsi="Times New Roman"/>
          <w:sz w:val="20"/>
          <w:szCs w:val="20"/>
          <w:u w:val="single" w:color="auto"/>
          <w:color w:val="auto"/>
        </w:rPr>
        <w:t>Director Role</w:t>
      </w:r>
      <w:r>
        <w:rPr>
          <w:rFonts w:ascii="Times New Roman" w:cs="Times New Roman" w:eastAsia="Times New Roman" w:hAnsi="Times New Roman"/>
          <w:sz w:val="20"/>
          <w:szCs w:val="20"/>
          <w:color w:val="auto"/>
        </w:rPr>
        <w:t>”). The Services under this Agreement are substantially broader than his Director Role.</w:t>
      </w:r>
    </w:p>
    <w:p>
      <w:pPr>
        <w:spacing w:after="0" w:line="204" w:lineRule="exact"/>
        <w:rPr>
          <w:sz w:val="20"/>
          <w:szCs w:val="20"/>
          <w:color w:val="auto"/>
        </w:rPr>
      </w:pPr>
    </w:p>
    <w:p>
      <w:pPr>
        <w:jc w:val="both"/>
        <w:ind w:firstLine="656"/>
        <w:spacing w:after="0"/>
        <w:tabs>
          <w:tab w:leader="none" w:pos="129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spacing w:after="0" w:line="201" w:lineRule="exact"/>
        <w:rPr>
          <w:rFonts w:ascii="Times New Roman" w:cs="Times New Roman" w:eastAsia="Times New Roman" w:hAnsi="Times New Roman"/>
          <w:sz w:val="20"/>
          <w:szCs w:val="20"/>
          <w:color w:val="auto"/>
        </w:rPr>
      </w:pPr>
    </w:p>
    <w:p>
      <w:pPr>
        <w:jc w:val="both"/>
        <w:ind w:firstLine="656"/>
        <w:spacing w:after="0"/>
        <w:tabs>
          <w:tab w:leader="none" w:pos="129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each of the parties hereto has duly executed this Amendment on June 23, 2025.</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365" w:right="339" w:bottom="1440" w:gutter="0" w:footer="0" w:header="0"/>
        </w:sectPr>
      </w:pPr>
    </w:p>
    <w:bookmarkStart w:id="59" w:name="page60"/>
    <w:bookmarkEnd w:id="59"/>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LIGHT &amp; WONDER, INC.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________________________________</w:t>
      </w:r>
    </w:p>
    <w:p>
      <w:pPr>
        <w:ind w:left="3900"/>
        <w:spacing w:after="0" w:line="233" w:lineRule="auto"/>
        <w:rPr>
          <w:sz w:val="20"/>
          <w:szCs w:val="20"/>
          <w:color w:val="auto"/>
        </w:rPr>
      </w:pPr>
      <w:r>
        <w:rPr>
          <w:rFonts w:ascii="Times New Roman" w:cs="Times New Roman" w:eastAsia="Times New Roman" w:hAnsi="Times New Roman"/>
          <w:sz w:val="20"/>
          <w:szCs w:val="20"/>
          <w:color w:val="auto"/>
        </w:rPr>
        <w:t>Name: James Sottile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Legal Officer</w:t>
      </w:r>
    </w:p>
    <w:p>
      <w:pPr>
        <w:spacing w:after="0" w:line="200" w:lineRule="exact"/>
        <w:rPr>
          <w:sz w:val="20"/>
          <w:szCs w:val="20"/>
          <w:color w:val="auto"/>
        </w:rPr>
      </w:pP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JAMIE ODELL PTY LTD.</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By:____________________________________</w:t>
      </w:r>
    </w:p>
    <w:p>
      <w:pPr>
        <w:ind w:left="3900"/>
        <w:spacing w:after="0" w:line="233" w:lineRule="auto"/>
        <w:rPr>
          <w:sz w:val="20"/>
          <w:szCs w:val="20"/>
          <w:color w:val="auto"/>
        </w:rPr>
      </w:pPr>
      <w:r>
        <w:rPr>
          <w:rFonts w:ascii="Times New Roman" w:cs="Times New Roman" w:eastAsia="Times New Roman" w:hAnsi="Times New Roman"/>
          <w:sz w:val="20"/>
          <w:szCs w:val="20"/>
          <w:color w:val="auto"/>
        </w:rPr>
        <w:t>Name: Jamie Odell</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Proprietor</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undersigned agrees to the assignment of the Agreement to him in his individual capacity, and otherwise agree to the terms and conditions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Jamie Odell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hanging="324"/>
        <w:spacing w:after="0" w:line="282" w:lineRule="auto"/>
        <w:tabs>
          <w:tab w:leader="none" w:pos="8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60" w:right="180" w:hanging="316"/>
        <w:spacing w:after="0" w:line="282" w:lineRule="auto"/>
        <w:tabs>
          <w:tab w:leader="none" w:pos="15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60" w:hanging="316"/>
        <w:spacing w:after="0" w:line="282" w:lineRule="auto"/>
        <w:tabs>
          <w:tab w:leader="none" w:pos="152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1180"/>
          </w:cols>
          <w:pgMar w:left="380" w:top="149"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1180"/>
          </w:cols>
          <w:pgMar w:left="380" w:top="149"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Light &amp; Wonder, Inc. (the “Company”) on Form 10-Q for the period ended June 30, 2025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6, 2025</w:t>
      </w:r>
    </w:p>
    <w:p>
      <w:pPr>
        <w:sectPr>
          <w:pgSz w:w="11900" w:h="16838" w:orient="portrait"/>
          <w:cols w:equalWidth="0" w:num="1">
            <w:col w:w="11240"/>
          </w:cols>
          <w:pgMar w:left="320" w:top="14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June 30, 2025 as filed with the Securities and Exchange Commission on the date hereof (the “Report”), I, Oliver Chow, Chief Financial Officer of the Company, certify, pursuant to 18 U.S.C. § 1350, as adopted pursuant to Section 906 of the Sarbanes 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6, 2025</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04"/>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3"/>
    </w:lvl>
    <w:lvl w:ilvl="1">
      <w:lvlJc w:val="left"/>
      <w:lvlText w:val="(%2)"/>
      <w:numFmt w:val="lowerLetter"/>
      <w:start w:val="1"/>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decimal"/>
      <w:start w:val="2"/>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76" Type="http://schemas.openxmlformats.org/officeDocument/2006/relationships/hyperlink" Target="https://www.sec.gov/Archives/edgar/data/750004/000110465925014535/tm256405d1_ex2-1.htm" TargetMode="External"/><Relationship Id="rId77" Type="http://schemas.openxmlformats.org/officeDocument/2006/relationships/hyperlink" Target="https://www.sec.gov/Archives/edgar/data/750004/000075000422000025/ex31arestatedarticlesofinc.htm" TargetMode="External"/><Relationship Id="rId78" Type="http://schemas.openxmlformats.org/officeDocument/2006/relationships/hyperlink" Target="https://www.sec.gov/Archives/edgar/data/750004/000075000423000031/ex32-thirdamendedandrestat.htm" TargetMode="External"/><Relationship Id="rId79" Type="http://schemas.openxmlformats.org/officeDocument/2006/relationships/hyperlink" Target="https://www.sec.gov/Archives/edgar/data/750004/000110465925050011/tm2515308d1_ex10-1.htm" TargetMode="External"/><Relationship Id="rId80" Type="http://schemas.openxmlformats.org/officeDocument/2006/relationships/hyperlink" Target="https://www.sec.gov/Archives/edgar/data/750004/00009501572500050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2025-08-06T15:42:03Z</dcterms:created>
  <dcterms:modified xsi:type="dcterms:W3CDTF">2025-08-06T15:42:03Z</dcterms:modified>
</cp:coreProperties>
</file>