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6" w:lineRule="exact"/>
        <w:rPr>
          <w:sz w:val="24"/>
          <w:szCs w:val="24"/>
          <w:color w:val="auto"/>
        </w:rPr>
      </w:pPr>
    </w:p>
    <w:p>
      <w:pPr>
        <w:ind w:right="700" w:firstLine="8"/>
        <w:spacing w:after="0" w:line="263" w:lineRule="auto"/>
        <w:tabs>
          <w:tab w:leader="none" w:pos="40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right="700" w:firstLine="8"/>
        <w:spacing w:after="0" w:line="260" w:lineRule="auto"/>
        <w:tabs>
          <w:tab w:leader="none" w:pos="405"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9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Commission file number: 001-11693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53975</wp:posOffset>
            </wp:positionV>
            <wp:extent cx="128587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LIGHT &amp; WONDER,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7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160" w:type="dxa"/>
            <w:vAlign w:val="bottom"/>
          </w:tcPr>
          <w:p>
            <w:pPr>
              <w:spacing w:after="0"/>
              <w:rPr>
                <w:sz w:val="20"/>
                <w:szCs w:val="20"/>
                <w:color w:val="auto"/>
              </w:rPr>
            </w:pPr>
          </w:p>
        </w:tc>
        <w:tc>
          <w:tcPr>
            <w:tcW w:w="438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81-0422894</w:t>
            </w:r>
          </w:p>
        </w:tc>
      </w:tr>
      <w:tr>
        <w:trPr>
          <w:trHeight w:val="257"/>
        </w:trPr>
        <w:tc>
          <w:tcPr>
            <w:tcW w:w="6880" w:type="dxa"/>
            <w:vAlign w:val="bottom"/>
            <w:gridSpan w:val="3"/>
          </w:tcPr>
          <w:p>
            <w:pPr>
              <w:jc w:val="center"/>
              <w:ind w:right="13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589"/>
        </w:trPr>
        <w:tc>
          <w:tcPr>
            <w:tcW w:w="47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6601 Bermuda Road, Las Vegas, Nevada</w:t>
            </w:r>
          </w:p>
        </w:tc>
        <w:tc>
          <w:tcPr>
            <w:tcW w:w="2160" w:type="dxa"/>
            <w:vAlign w:val="bottom"/>
          </w:tcPr>
          <w:p>
            <w:pPr>
              <w:spacing w:after="0"/>
              <w:rPr>
                <w:sz w:val="24"/>
                <w:szCs w:val="24"/>
                <w:color w:val="auto"/>
              </w:rPr>
            </w:pPr>
          </w:p>
        </w:tc>
        <w:tc>
          <w:tcPr>
            <w:tcW w:w="4380" w:type="dxa"/>
            <w:vAlign w:val="bottom"/>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89119</w:t>
            </w:r>
          </w:p>
        </w:tc>
      </w:tr>
      <w:tr>
        <w:trPr>
          <w:trHeight w:val="234"/>
        </w:trPr>
        <w:tc>
          <w:tcPr>
            <w:tcW w:w="47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60" w:type="dxa"/>
            <w:vAlign w:val="bottom"/>
          </w:tcPr>
          <w:p>
            <w:pPr>
              <w:spacing w:after="0"/>
              <w:rPr>
                <w:sz w:val="20"/>
                <w:szCs w:val="20"/>
                <w:color w:val="auto"/>
              </w:rPr>
            </w:pPr>
          </w:p>
        </w:tc>
        <w:tc>
          <w:tcPr>
            <w:tcW w:w="43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(Zip Code)</w:t>
            </w:r>
          </w:p>
        </w:tc>
      </w:tr>
      <w:tr>
        <w:trPr>
          <w:trHeight w:val="535"/>
        </w:trPr>
        <w:tc>
          <w:tcPr>
            <w:tcW w:w="4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(702) 897-7150</w:t>
            </w:r>
          </w:p>
        </w:tc>
        <w:tc>
          <w:tcPr>
            <w:tcW w:w="4380" w:type="dxa"/>
            <w:vAlign w:val="bottom"/>
          </w:tcPr>
          <w:p>
            <w:pPr>
              <w:spacing w:after="0"/>
              <w:rPr>
                <w:sz w:val="24"/>
                <w:szCs w:val="24"/>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59"/>
        </w:trPr>
        <w:tc>
          <w:tcPr>
            <w:tcW w:w="4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7"/>
              </w:rPr>
              <w:t>LNW</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10" w:lineRule="exact"/>
        <w:rPr>
          <w:sz w:val="24"/>
          <w:szCs w:val="24"/>
          <w:color w:val="auto"/>
        </w:rPr>
      </w:pPr>
    </w:p>
    <w:p>
      <w:pPr>
        <w:ind w:right="180" w:firstLine="486"/>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ind w:right="40" w:firstLine="486"/>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2" w:lineRule="exact"/>
        <w:rPr>
          <w:sz w:val="24"/>
          <w:szCs w:val="24"/>
          <w:color w:val="auto"/>
        </w:rPr>
      </w:pPr>
    </w:p>
    <w:p>
      <w:pPr>
        <w:ind w:right="120" w:firstLine="486"/>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320" w:type="dxa"/>
        <w:tblCellMar>
          <w:top w:w="0" w:type="dxa"/>
          <w:left w:w="0" w:type="dxa"/>
          <w:bottom w:w="0" w:type="dxa"/>
          <w:right w:w="0" w:type="dxa"/>
        </w:tblCellMar>
      </w:tblPr>
      <w:tr>
        <w:trPr>
          <w:trHeight w:val="216"/>
        </w:trPr>
        <w:tc>
          <w:tcPr>
            <w:tcW w:w="232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Large accelerated filer</w:t>
            </w:r>
          </w:p>
        </w:tc>
        <w:tc>
          <w:tcPr>
            <w:tcW w:w="1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32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Non-accelerated filer</w:t>
            </w:r>
          </w:p>
        </w:tc>
        <w:tc>
          <w:tcPr>
            <w:tcW w:w="1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2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Emerging growth company</w:t>
            </w:r>
          </w:p>
        </w:tc>
        <w:tc>
          <w:tcPr>
            <w:tcW w:w="1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spacing w:after="0"/>
              <w:rPr>
                <w:sz w:val="23"/>
                <w:szCs w:val="23"/>
                <w:color w:val="auto"/>
              </w:rPr>
            </w:pPr>
          </w:p>
        </w:tc>
        <w:tc>
          <w:tcPr>
            <w:tcW w:w="720" w:type="dxa"/>
            <w:vAlign w:val="bottom"/>
          </w:tcPr>
          <w:p>
            <w:pPr>
              <w:spacing w:after="0"/>
              <w:rPr>
                <w:sz w:val="23"/>
                <w:szCs w:val="23"/>
                <w:color w:val="auto"/>
              </w:rPr>
            </w:pPr>
          </w:p>
        </w:tc>
      </w:tr>
    </w:tbl>
    <w:p>
      <w:pPr>
        <w:spacing w:after="0" w:line="209" w:lineRule="exact"/>
        <w:rPr>
          <w:sz w:val="24"/>
          <w:szCs w:val="24"/>
          <w:color w:val="auto"/>
        </w:rPr>
      </w:pPr>
    </w:p>
    <w:p>
      <w:pPr>
        <w:ind w:right="120" w:firstLine="486"/>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ind w:left="500" w:right="312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Common stock outstanding as of August 2, 2024 was 88,724,171.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40"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AND OTHER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40" w:type="dxa"/>
            <w:vAlign w:val="bottom"/>
            <w:gridSpan w:val="2"/>
            <w:vMerge w:val="restart"/>
          </w:tcPr>
          <w:p>
            <w:pPr>
              <w:spacing w:after="0"/>
              <w:rPr>
                <w:sz w:val="20"/>
                <w:szCs w:val="20"/>
                <w:color w:val="auto"/>
              </w:rPr>
            </w:pPr>
          </w:p>
        </w:tc>
        <w:tc>
          <w:tcPr>
            <w:tcW w:w="94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440" w:type="dxa"/>
            <w:vAlign w:val="bottom"/>
            <w:gridSpan w:val="16"/>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40" w:type="dxa"/>
            <w:vAlign w:val="bottom"/>
            <w:gridSpan w:val="2"/>
          </w:tcPr>
          <w:p>
            <w:pPr>
              <w:spacing w:after="0"/>
              <w:rPr>
                <w:sz w:val="24"/>
                <w:szCs w:val="24"/>
                <w:color w:val="auto"/>
              </w:rPr>
            </w:pPr>
          </w:p>
        </w:tc>
        <w:tc>
          <w:tcPr>
            <w:tcW w:w="4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20" w:type="dxa"/>
            <w:vAlign w:val="bottom"/>
            <w:gridSpan w:val="7"/>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Six Months Ended June 30, 2024 and 2023</w:t>
            </w:r>
          </w:p>
        </w:tc>
        <w:tc>
          <w:tcPr>
            <w:tcW w:w="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rPr>
              <w:t>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Three and Six Months Ended June 30, 2024 and 2023</w:t>
            </w:r>
          </w:p>
        </w:tc>
        <w:tc>
          <w:tcPr>
            <w:tcW w:w="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rPr>
              <w:t>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 as of June 30, 2024 and December 31, 2023</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2024 and 2023</w:t>
            </w:r>
          </w:p>
        </w:tc>
        <w:tc>
          <w:tcPr>
            <w:tcW w:w="1900" w:type="dxa"/>
            <w:vAlign w:val="bottom"/>
            <w:gridSpan w:val="2"/>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10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gridSpan w:val="4"/>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29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2"/>
          </w:tcPr>
          <w:p>
            <w:pPr>
              <w:spacing w:after="0"/>
              <w:rPr>
                <w:sz w:val="24"/>
                <w:szCs w:val="24"/>
                <w:color w:val="auto"/>
              </w:rPr>
            </w:pPr>
          </w:p>
        </w:tc>
        <w:tc>
          <w:tcPr>
            <w:tcW w:w="3000" w:type="dxa"/>
            <w:vAlign w:val="bottom"/>
            <w:gridSpan w:val="4"/>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2580" w:type="dxa"/>
            <w:vAlign w:val="bottom"/>
            <w:gridSpan w:val="5"/>
          </w:tcPr>
          <w:p>
            <w:pPr>
              <w:spacing w:after="0"/>
              <w:rPr>
                <w:sz w:val="24"/>
                <w:szCs w:val="24"/>
                <w:color w:val="auto"/>
              </w:rPr>
            </w:pPr>
          </w:p>
        </w:tc>
        <w:tc>
          <w:tcPr>
            <w:tcW w:w="5100" w:type="dxa"/>
            <w:vAlign w:val="bottom"/>
            <w:gridSpan w:val="6"/>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4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80" w:type="dxa"/>
            <w:vAlign w:val="bottom"/>
          </w:tcPr>
          <w:p>
            <w:pPr>
              <w:spacing w:after="0"/>
              <w:rPr>
                <w:sz w:val="24"/>
                <w:szCs w:val="24"/>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20" w:type="dxa"/>
            <w:vAlign w:val="bottom"/>
            <w:gridSpan w:val="10"/>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4"/>
                <w:szCs w:val="24"/>
                <w:color w:val="auto"/>
              </w:rPr>
            </w:pPr>
          </w:p>
        </w:tc>
        <w:tc>
          <w:tcPr>
            <w:tcW w:w="8140" w:type="dxa"/>
            <w:vAlign w:val="bottom"/>
            <w:gridSpan w:val="12"/>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5100" w:type="dxa"/>
            <w:vAlign w:val="bottom"/>
            <w:gridSpan w:val="6"/>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3"/>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3"/>
          </w:tcPr>
          <w:p>
            <w:pPr>
              <w:spacing w:after="0"/>
              <w:rPr>
                <w:sz w:val="24"/>
                <w:szCs w:val="24"/>
                <w:color w:val="auto"/>
              </w:rPr>
            </w:pPr>
          </w:p>
        </w:tc>
        <w:tc>
          <w:tcPr>
            <w:tcW w:w="5100" w:type="dxa"/>
            <w:vAlign w:val="bottom"/>
            <w:gridSpan w:val="6"/>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20" w:type="dxa"/>
            <w:vAlign w:val="bottom"/>
            <w:gridSpan w:val="9"/>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80" w:type="dxa"/>
            <w:vAlign w:val="bottom"/>
            <w:gridSpan w:val="11"/>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80" w:type="dxa"/>
            <w:vAlign w:val="bottom"/>
            <w:gridSpan w:val="11"/>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4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4"/>
                <w:szCs w:val="24"/>
                <w:color w:val="auto"/>
              </w:rPr>
            </w:pPr>
          </w:p>
        </w:tc>
        <w:tc>
          <w:tcPr>
            <w:tcW w:w="8140" w:type="dxa"/>
            <w:vAlign w:val="bottom"/>
            <w:gridSpan w:val="12"/>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4840" w:type="dxa"/>
            <w:vAlign w:val="bottom"/>
            <w:gridSpan w:val="9"/>
          </w:tcPr>
          <w:p>
            <w:pPr>
              <w:jc w:val="right"/>
              <w:ind w:right="88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or acronyms used in this Quarterly Report on Form 10-Q are defined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Term or Acronym</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23"/>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80" w:type="dxa"/>
            <w:vAlign w:val="bottom"/>
            <w:tcBorders>
              <w:top w:val="single" w:sz="8" w:color="CCEEFF"/>
            </w:tcBorders>
            <w:shd w:val="clear" w:color="auto" w:fill="CCEEFF"/>
          </w:tcPr>
          <w:p>
            <w:pPr>
              <w:spacing w:after="0"/>
              <w:rPr>
                <w:sz w:val="19"/>
                <w:szCs w:val="19"/>
                <w:color w:val="auto"/>
              </w:rPr>
            </w:pPr>
          </w:p>
        </w:tc>
        <w:tc>
          <w:tcPr>
            <w:tcW w:w="8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Annual Report on Form 10-K filed with SEC on February 27, 2024</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senior unsecured notes due 2028 issued by LNWI</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7.250% senior unsecured notes due 2029 issued by LNWI</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senior unsecured notes due 2031 issued by LNWI</w:t>
            </w:r>
          </w:p>
        </w:tc>
      </w:tr>
      <w:tr>
        <w:trPr>
          <w:trHeight w:val="229"/>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AEBITDA</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our primary performance measure of profit or loss for our business segments</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ASX</w:t>
            </w: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Australian Securities Exchange</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CMS</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casino-management system</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D&amp;A</w:t>
            </w: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impairments (excluding goodwill)</w:t>
            </w:r>
          </w:p>
        </w:tc>
      </w:tr>
      <w:tr>
        <w:trPr>
          <w:trHeight w:val="229"/>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29"/>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KPIs</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Performance Indicators</w:t>
            </w:r>
          </w:p>
        </w:tc>
      </w:tr>
      <w:tr>
        <w:trPr>
          <w:trHeight w:val="229"/>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L&amp;W</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&amp; Wonder, Inc.</w:t>
            </w:r>
          </w:p>
        </w:tc>
      </w:tr>
      <w:tr>
        <w:trPr>
          <w:trHeight w:val="225"/>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LBO</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betting office</w:t>
            </w:r>
          </w:p>
        </w:tc>
      </w:tr>
      <w:tr>
        <w:trPr>
          <w:trHeight w:val="114"/>
        </w:trPr>
        <w:tc>
          <w:tcPr>
            <w:tcW w:w="4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78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Light and Wonder International, Inc., a wholly-owned subsidiary of L&amp;W and successor to Scientific Games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LNWI</w:t>
            </w:r>
          </w:p>
        </w:tc>
        <w:tc>
          <w:tcPr>
            <w:tcW w:w="9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International, Inc.</w:t>
            </w:r>
          </w:p>
        </w:tc>
        <w:tc>
          <w:tcPr>
            <w:tcW w:w="0" w:type="dxa"/>
            <w:vAlign w:val="bottom"/>
          </w:tcPr>
          <w:p>
            <w:pPr>
              <w:spacing w:after="0"/>
              <w:rPr>
                <w:sz w:val="1"/>
                <w:szCs w:val="1"/>
                <w:color w:val="auto"/>
              </w:rPr>
            </w:pPr>
          </w:p>
        </w:tc>
      </w:tr>
      <w:tr>
        <w:trPr>
          <w:trHeight w:val="70"/>
        </w:trPr>
        <w:tc>
          <w:tcPr>
            <w:tcW w:w="2140" w:type="dxa"/>
            <w:vAlign w:val="bottom"/>
          </w:tcPr>
          <w:p>
            <w:pPr>
              <w:spacing w:after="0"/>
              <w:rPr>
                <w:sz w:val="6"/>
                <w:szCs w:val="6"/>
                <w:color w:val="auto"/>
              </w:rPr>
            </w:pPr>
          </w:p>
        </w:tc>
        <w:tc>
          <w:tcPr>
            <w:tcW w:w="9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904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That certain credit agreement, dated as of April 14, 2022, among LNWI, as the borrower, L&amp;W, as a guarantor, the</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90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lenders from time to time party thereto, JPMorgan Chase Bank, N.A., as Administrative Agent, Collateral Agent and</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90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9"/>
              </w:rPr>
              <w:t>Swingline Lender, BofA Securities, Inc., BNP Paribas Securities Corp., Deutsche Bank Securities Inc., Fifth Third Bank,</w:t>
            </w:r>
          </w:p>
        </w:tc>
        <w:tc>
          <w:tcPr>
            <w:tcW w:w="0" w:type="dxa"/>
            <w:vAlign w:val="bottom"/>
          </w:tcPr>
          <w:p>
            <w:pPr>
              <w:spacing w:after="0"/>
              <w:rPr>
                <w:sz w:val="1"/>
                <w:szCs w:val="1"/>
                <w:color w:val="auto"/>
              </w:rPr>
            </w:pPr>
          </w:p>
        </w:tc>
      </w:tr>
      <w:tr>
        <w:trPr>
          <w:trHeight w:val="184"/>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LNWI Credit Agreement</w:t>
            </w:r>
          </w:p>
        </w:tc>
        <w:tc>
          <w:tcPr>
            <w:tcW w:w="90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National Association, Barclays Bank PLC, Citizens Bank, N.A., Goldman Sachs Bank USA, Morgan Stanley Senior</w:t>
            </w:r>
          </w:p>
        </w:tc>
        <w:tc>
          <w:tcPr>
            <w:tcW w:w="0" w:type="dxa"/>
            <w:vAlign w:val="bottom"/>
          </w:tcPr>
          <w:p>
            <w:pPr>
              <w:spacing w:after="0"/>
              <w:rPr>
                <w:sz w:val="1"/>
                <w:szCs w:val="1"/>
                <w:color w:val="auto"/>
              </w:rPr>
            </w:pPr>
          </w:p>
        </w:tc>
      </w:tr>
      <w:tr>
        <w:trPr>
          <w:trHeight w:val="113"/>
        </w:trPr>
        <w:tc>
          <w:tcPr>
            <w:tcW w:w="2140" w:type="dxa"/>
            <w:vAlign w:val="bottom"/>
            <w:vMerge w:val="continue"/>
          </w:tcPr>
          <w:p>
            <w:pPr>
              <w:spacing w:after="0"/>
              <w:rPr>
                <w:sz w:val="9"/>
                <w:szCs w:val="9"/>
                <w:color w:val="auto"/>
              </w:rPr>
            </w:pPr>
          </w:p>
        </w:tc>
        <w:tc>
          <w:tcPr>
            <w:tcW w:w="9040" w:type="dxa"/>
            <w:vAlign w:val="bottom"/>
            <w:vMerge w:val="restart"/>
          </w:tcPr>
          <w:p>
            <w:pPr>
              <w:ind w:left="320"/>
              <w:spacing w:after="0" w:line="181" w:lineRule="exact"/>
              <w:rPr>
                <w:sz w:val="20"/>
                <w:szCs w:val="20"/>
                <w:color w:val="auto"/>
              </w:rPr>
            </w:pPr>
            <w:r>
              <w:rPr>
                <w:rFonts w:ascii="Times New Roman" w:cs="Times New Roman" w:eastAsia="Times New Roman" w:hAnsi="Times New Roman"/>
                <w:sz w:val="18"/>
                <w:szCs w:val="18"/>
                <w:color w:val="auto"/>
              </w:rPr>
              <w:t>Funding, Inc., Royal Bank of Canada, Truist Securities, Inc., Credit Suisse Loan Funding LLC and Macquarie Capital</w:t>
            </w: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9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90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(USA) Inc. as Lead Arrangers and Joint Bookrunners, as amended, restated, amended and restated, supplemented or</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otherwise modified from time to time</w:t>
            </w: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900" w:h="16838" w:orient="portrait"/>
          <w:cols w:equalWidth="0" w:num="1">
            <w:col w:w="11240"/>
          </w:cols>
          <w:pgMar w:left="320" w:top="887" w:right="339" w:bottom="1440" w:gutter="0" w:footer="0" w:header="0"/>
        </w:sectPr>
      </w:pPr>
    </w:p>
    <w:p>
      <w:pPr>
        <w:ind w:left="20" w:right="260"/>
        <w:spacing w:after="0" w:line="329" w:lineRule="auto"/>
        <w:rPr>
          <w:sz w:val="20"/>
          <w:szCs w:val="20"/>
          <w:color w:val="auto"/>
        </w:rPr>
      </w:pPr>
      <w:r>
        <w:rPr>
          <w:rFonts w:ascii="Times New Roman" w:cs="Times New Roman" w:eastAsia="Times New Roman" w:hAnsi="Times New Roman"/>
          <w:sz w:val="17"/>
          <w:szCs w:val="17"/>
          <w:color w:val="auto"/>
        </w:rPr>
        <w:t>LNWI Revolver LNWI Term Loan B</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Participation</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Times New Roman" w:cs="Times New Roman" w:eastAsia="Times New Roman" w:hAnsi="Times New Roman"/>
          <w:sz w:val="18"/>
          <w:szCs w:val="18"/>
          <w:color w:val="auto"/>
        </w:rPr>
        <w:t>Revolving credit facility with aggregate commitments of $750 million extended pursuant to the LNWI Credit Agreement Term loan facility, issued pursuant to the LNWI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-289560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1270</wp:posOffset>
            </wp:positionV>
            <wp:extent cx="71323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560"/>
        <w:spacing w:after="0" w:line="242" w:lineRule="auto"/>
        <w:rPr>
          <w:sz w:val="20"/>
          <w:szCs w:val="20"/>
          <w:color w:val="auto"/>
        </w:rPr>
      </w:pPr>
      <w:r>
        <w:rPr>
          <w:rFonts w:ascii="Times New Roman" w:cs="Times New Roman" w:eastAsia="Times New Roman" w:hAnsi="Times New Roman"/>
          <w:sz w:val="18"/>
          <w:szCs w:val="18"/>
          <w:color w:val="auto"/>
        </w:rPr>
        <w:t>a note in the Notes to Consolidated Financial Statements in this Quarterly Report on Form 10-Q, unless otherwise indicated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refers to gaming machines provided to customers through service or leasing arrangements in which we earn revenues and</w:t>
      </w:r>
    </w:p>
    <w:p>
      <w:pPr>
        <w:spacing w:after="0" w:line="9"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are paid based on: (1) a percentage of the amount wagered less payouts; (2) fixed daily-fees; (3) a percentage of the amount wagered; or (4) a combination of (2) and (3)</w:t>
      </w:r>
    </w:p>
    <w:p>
      <w:pPr>
        <w:spacing w:after="0" w:line="20" w:lineRule="exact"/>
        <w:rPr>
          <w:sz w:val="20"/>
          <w:szCs w:val="20"/>
          <w:color w:val="auto"/>
        </w:rPr>
      </w:pPr>
    </w:p>
    <w:p>
      <w:pPr>
        <w:sectPr>
          <w:pgSz w:w="11900" w:h="16838" w:orient="portrait"/>
          <w:cols w:equalWidth="0" w:num="2">
            <w:col w:w="1760" w:space="720"/>
            <w:col w:w="876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unit</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SciPlay</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Our SciPlay business segment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Securities Act of 1933, as amended</w:t>
            </w: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Senior Notes or Unsecured</w:t>
            </w:r>
          </w:p>
        </w:tc>
        <w:tc>
          <w:tcPr>
            <w:tcW w:w="90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refers to the 2028 Unsecured Notes, 2029 Unsecured Notes and 2031 Unsecured Notes, collectively</w:t>
            </w:r>
          </w:p>
        </w:tc>
        <w:tc>
          <w:tcPr>
            <w:tcW w:w="0" w:type="dxa"/>
            <w:vAlign w:val="bottom"/>
          </w:tcPr>
          <w:p>
            <w:pPr>
              <w:spacing w:after="0"/>
              <w:rPr>
                <w:sz w:val="1"/>
                <w:szCs w:val="1"/>
                <w:color w:val="auto"/>
              </w:rPr>
            </w:pPr>
          </w:p>
        </w:tc>
      </w:tr>
      <w:tr>
        <w:trPr>
          <w:trHeight w:val="140"/>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20" w:type="dxa"/>
            <w:vAlign w:val="bottom"/>
            <w:vMerge w:val="continue"/>
          </w:tcPr>
          <w:p>
            <w:pPr>
              <w:spacing w:after="0"/>
              <w:rPr>
                <w:sz w:val="8"/>
                <w:szCs w:val="8"/>
                <w:color w:val="auto"/>
              </w:rPr>
            </w:pPr>
          </w:p>
        </w:tc>
        <w:tc>
          <w:tcPr>
            <w:tcW w:w="9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Shufflers</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various models of automatic card shufflers, deck checkers and roulette chip sorters</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jurisdictions</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the 50 states in the U.S. plus the District of Columbia, U.S. Virgin Islands and Puerto Rico</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VGT</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video gaming terminal</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VLT</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video lottery terminal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notices signify marks registered in the United States. © 2024 Light &amp; Wonder, Inc. or one of its Subsidiaries. All Rights Reserved.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2024 Hasbro. All Rights Reserved. Licensed by Hasbro.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11"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our strategy;</w:t>
      </w:r>
    </w:p>
    <w:p>
      <w:pPr>
        <w:spacing w:after="0" w:line="63" w:lineRule="exact"/>
        <w:rPr>
          <w:rFonts w:ascii="Times New Roman" w:cs="Times New Roman" w:eastAsia="Times New Roman" w:hAnsi="Times New Roman"/>
          <w:sz w:val="18"/>
          <w:szCs w:val="18"/>
          <w:color w:val="auto"/>
        </w:rPr>
      </w:pPr>
    </w:p>
    <w:p>
      <w:pPr>
        <w:ind w:left="500" w:right="72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growth of new gaming jurisdictions, slow addition of casinos in existing jurisdictions and declines in the replacement cycle of gaming machines;</w:t>
      </w:r>
    </w:p>
    <w:p>
      <w:pPr>
        <w:spacing w:after="0" w:line="1" w:lineRule="exact"/>
        <w:rPr>
          <w:rFonts w:ascii="Times New Roman" w:cs="Times New Roman" w:eastAsia="Times New Roman" w:hAnsi="Times New Roman"/>
          <w:sz w:val="18"/>
          <w:szCs w:val="18"/>
          <w:color w:val="auto"/>
        </w:rPr>
      </w:pPr>
    </w:p>
    <w:p>
      <w:pPr>
        <w:ind w:left="500" w:right="4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foreign operations, including anti-corruption laws, fluctuations in currency rates, restrictions on the payment of dividends from earnings, restrictions on the import of products and financial instability;</w:t>
      </w:r>
    </w:p>
    <w:p>
      <w:pPr>
        <w:spacing w:after="0" w:line="1" w:lineRule="exact"/>
        <w:rPr>
          <w:rFonts w:ascii="Times New Roman" w:cs="Times New Roman" w:eastAsia="Times New Roman" w:hAnsi="Times New Roman"/>
          <w:sz w:val="18"/>
          <w:szCs w:val="18"/>
          <w:color w:val="auto"/>
        </w:rPr>
      </w:pPr>
    </w:p>
    <w:p>
      <w:pPr>
        <w:ind w:left="500" w:right="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predicting what impact, if any, new tariffs imposed by and other trade actions taken by the U.S. and foreign jurisdictions could have on our business;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international economic and industry conditions, including increases in benchmark interest rates and the effects of inflation;</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response to environmental, social and governance issues;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health epidemics, contagious disease outbreaks and public perception thereof;</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elimination of, our share repurchase program;</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pricing variations and other impacts of our common stock being listed to trade on more than one stock exchange;</w:t>
      </w:r>
    </w:p>
    <w:p>
      <w:pPr>
        <w:spacing w:after="0" w:line="63" w:lineRule="exact"/>
        <w:rPr>
          <w:rFonts w:ascii="Times New Roman" w:cs="Times New Roman" w:eastAsia="Times New Roman" w:hAnsi="Times New Roman"/>
          <w:sz w:val="18"/>
          <w:szCs w:val="18"/>
          <w:color w:val="auto"/>
        </w:rPr>
      </w:pPr>
    </w:p>
    <w:p>
      <w:pPr>
        <w:ind w:left="50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our indebtedness, higher interest rates, availability or adequacy of cash flows and liquidity to satisfy indebtedness, other obligations or future cash needs;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further reduce or refinance our indebtedness;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covenants in debt agreements, including those that could result in acceleration of the maturity of our indebtedness;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win, retain or renew, or unfavorable revisions of, existing contracts, and the inability to enter into new contracts;</w:t>
      </w:r>
    </w:p>
    <w:p>
      <w:pPr>
        <w:spacing w:after="0" w:line="63" w:lineRule="exact"/>
        <w:rPr>
          <w:rFonts w:ascii="Times New Roman" w:cs="Times New Roman" w:eastAsia="Times New Roman" w:hAnsi="Times New Roman"/>
          <w:sz w:val="18"/>
          <w:szCs w:val="18"/>
          <w:color w:val="auto"/>
        </w:rPr>
      </w:pPr>
    </w:p>
    <w:p>
      <w:pPr>
        <w:ind w:left="500" w:right="36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of potential changes in U.K. gaming legislation, including any new or revised licensing and taxation regimes, responsible gambling requirements and/or sanctions on unlicensed providers;</w:t>
      </w:r>
    </w:p>
    <w:p>
      <w:pPr>
        <w:spacing w:after="0" w:line="1" w:lineRule="exact"/>
        <w:rPr>
          <w:rFonts w:ascii="Times New Roman" w:cs="Times New Roman" w:eastAsia="Times New Roman" w:hAnsi="Times New Roman"/>
          <w:sz w:val="18"/>
          <w:szCs w:val="18"/>
          <w:color w:val="auto"/>
        </w:rPr>
      </w:pPr>
    </w:p>
    <w:p>
      <w:pPr>
        <w:ind w:left="500" w:right="1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and offer products that keep pace with, evolving technology, including any failure of our investment of significant resources in our R&amp;D efforts;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following completion of the SciPlay merger;</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management and employees;</w:t>
      </w:r>
    </w:p>
    <w:p>
      <w:pPr>
        <w:spacing w:after="0" w:line="63" w:lineRule="exact"/>
        <w:rPr>
          <w:rFonts w:ascii="Times New Roman" w:cs="Times New Roman" w:eastAsia="Times New Roman" w:hAnsi="Times New Roman"/>
          <w:sz w:val="18"/>
          <w:szCs w:val="18"/>
          <w:color w:val="auto"/>
        </w:rPr>
      </w:pPr>
    </w:p>
    <w:p>
      <w:pPr>
        <w:ind w:left="500" w:right="80" w:hanging="330"/>
        <w:spacing w:after="0" w:line="266"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and services;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suppliers and manufacturers;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SciPlay’s dependence on certain key providers;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changes and consolidation in the gaming industry;</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due to seasonality and other factors;</w:t>
      </w:r>
    </w:p>
    <w:p>
      <w:pPr>
        <w:spacing w:after="0" w:line="63" w:lineRule="exact"/>
        <w:rPr>
          <w:rFonts w:ascii="Times New Roman" w:cs="Times New Roman" w:eastAsia="Times New Roman" w:hAnsi="Times New Roman"/>
          <w:sz w:val="18"/>
          <w:szCs w:val="18"/>
          <w:color w:val="auto"/>
        </w:rPr>
      </w:pPr>
    </w:p>
    <w:p>
      <w:pPr>
        <w:ind w:left="500" w:right="3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 a result of being publicly traded in the United States and Australia, including price variations and other impacts relating to the secondary listing of the Company’s common stock on the ASX;</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achieve expected operational, strategic and financial benefits of the SciPlay merger;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integrity of our products and systems, including the impact of any security breaches or cyber-attacks;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intellectual property, inability to license third-party intellectual property and the intellectual property rights of others;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or failures in information technology and other systems;</w:t>
      </w:r>
    </w:p>
    <w:p>
      <w:pPr>
        <w:spacing w:after="0" w:line="63" w:lineRule="exact"/>
        <w:rPr>
          <w:rFonts w:ascii="Times New Roman" w:cs="Times New Roman" w:eastAsia="Times New Roman" w:hAnsi="Times New Roman"/>
          <w:sz w:val="18"/>
          <w:szCs w:val="18"/>
          <w:color w:val="auto"/>
        </w:rPr>
      </w:pPr>
    </w:p>
    <w:p>
      <w:pPr>
        <w:ind w:left="500" w:right="48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technological blocking systems;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or disruptions relating to the completion of the domestic migration to our enterprise resource planning system;</w:t>
      </w:r>
    </w:p>
    <w:p>
      <w:pPr>
        <w:spacing w:after="0" w:line="63" w:lineRule="exact"/>
        <w:rPr>
          <w:rFonts w:ascii="Times New Roman" w:cs="Times New Roman" w:eastAsia="Times New Roman" w:hAnsi="Times New Roman"/>
          <w:sz w:val="18"/>
          <w:szCs w:val="18"/>
          <w:color w:val="auto"/>
        </w:rPr>
      </w:pPr>
    </w:p>
    <w:p>
      <w:pPr>
        <w:ind w:left="500" w:right="8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government regulations,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spacing w:after="0" w:line="13" w:lineRule="exact"/>
        <w:rPr>
          <w:rFonts w:ascii="Times New Roman" w:cs="Times New Roman" w:eastAsia="Times New Roman" w:hAnsi="Times New Roman"/>
          <w:sz w:val="18"/>
          <w:szCs w:val="18"/>
          <w:color w:val="auto"/>
        </w:rPr>
      </w:pPr>
    </w:p>
    <w:p>
      <w:pPr>
        <w:ind w:left="500" w:right="6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interpretation and enforcement, regulatory perception and regulatory risks with respect to gaming, especially internet wagering and social gaming;</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or the examination of our tax positions;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to legalized gaming or the expansion thereof and potential restrictions on internet wagering;</w:t>
      </w:r>
    </w:p>
    <w:p>
      <w:pPr>
        <w:spacing w:after="0" w:line="63" w:lineRule="exact"/>
        <w:rPr>
          <w:rFonts w:ascii="Times New Roman" w:cs="Times New Roman" w:eastAsia="Times New Roman" w:hAnsi="Times New Roman"/>
          <w:sz w:val="18"/>
          <w:szCs w:val="18"/>
          <w:color w:val="auto"/>
        </w:rPr>
      </w:pPr>
    </w:p>
    <w:p>
      <w:pPr>
        <w:ind w:left="500" w:right="20" w:hanging="330"/>
        <w:spacing w:after="0" w:line="26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shift to regulated digital gaming;</w:t>
      </w:r>
    </w:p>
    <w:p>
      <w:pPr>
        <w:spacing w:after="0" w:line="63" w:lineRule="exact"/>
        <w:rPr>
          <w:rFonts w:ascii="Times New Roman" w:cs="Times New Roman" w:eastAsia="Times New Roman" w:hAnsi="Times New Roman"/>
          <w:sz w:val="18"/>
          <w:szCs w:val="18"/>
          <w:color w:val="auto"/>
        </w:rPr>
      </w:pPr>
    </w:p>
    <w:p>
      <w:pPr>
        <w:ind w:left="500" w:right="18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successful products and services and capitalize on trends and changes in our industries, including the expansion of internet and other forms of digital gaming;</w:t>
      </w:r>
    </w:p>
    <w:p>
      <w:pPr>
        <w:spacing w:after="0" w:line="1" w:lineRule="exact"/>
        <w:rPr>
          <w:rFonts w:ascii="Times New Roman" w:cs="Times New Roman" w:eastAsia="Times New Roman" w:hAnsi="Times New Roman"/>
          <w:sz w:val="18"/>
          <w:szCs w:val="18"/>
          <w:color w:val="auto"/>
        </w:rPr>
      </w:pPr>
    </w:p>
    <w:p>
      <w:pPr>
        <w:ind w:left="500" w:right="12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scope of data privacy and security regulations, and our belief that the adoption of increasingly restrictive regulations in this area is likely within the U.S. and other jurisdictions;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restructuring costs;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charges including changes in estimates or judgments related to our impairment analysis of goodwill or other intangible assets;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adequate internal control over financial reporting;</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executives;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that disrupt our operations, or those of our customers, suppliers or regulators; and</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growth in total consumer spending on social casino gaming.</w:t>
      </w:r>
    </w:p>
    <w:p>
      <w:pPr>
        <w:spacing w:after="0" w:line="1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“Risk Factors” in </w:t>
      </w:r>
      <w:r>
        <w:rPr>
          <w:rFonts w:ascii="Times New Roman" w:cs="Times New Roman" w:eastAsia="Times New Roman" w:hAnsi="Times New Roman"/>
          <w:sz w:val="18"/>
          <w:szCs w:val="18"/>
          <w:i w:val="1"/>
          <w:iCs w:val="1"/>
          <w:color w:val="auto"/>
        </w:rPr>
        <w:t>Part II, Item 1A</w:t>
      </w:r>
      <w:r>
        <w:rPr>
          <w:rFonts w:ascii="Times New Roman" w:cs="Times New Roman" w:eastAsia="Times New Roman" w:hAnsi="Times New Roman"/>
          <w:sz w:val="18"/>
          <w:szCs w:val="18"/>
          <w:color w:val="auto"/>
        </w:rPr>
        <w:t xml:space="preserve"> of this Quarterly Report on Form 10-Q and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in our 2023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spacing w:after="0" w:line="1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social and digital gaming industries than the same industries in the U.S.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rounding, certain numbers presented herein may not precisely recalculate.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2720" w:type="dxa"/>
            <w:vAlign w:val="bottom"/>
            <w:gridSpan w:val="6"/>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600" w:type="dxa"/>
            <w:vAlign w:val="bottom"/>
            <w:gridSpan w:val="4"/>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5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3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3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3"/>
        </w:trPr>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Cost of products</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other</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8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(loss) attributable to L&amp;W</w:t>
            </w:r>
          </w:p>
        </w:tc>
        <w:tc>
          <w:tcPr>
            <w:tcW w:w="82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 Basic:</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(loss) attributable to L&amp;W</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 Diluted:</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80" w:type="dxa"/>
            <w:vAlign w:val="bottom"/>
            <w:tcBorders>
              <w:bottom w:val="single" w:sz="8" w:color="CCEEFF"/>
            </w:tcBorders>
            <w:shd w:val="clear" w:color="auto" w:fill="CCEEFF"/>
          </w:tcPr>
          <w:p>
            <w:pPr>
              <w:ind w:left="500"/>
              <w:spacing w:after="0" w:line="202" w:lineRule="exact"/>
              <w:rPr>
                <w:sz w:val="20"/>
                <w:szCs w:val="20"/>
                <w:color w:val="auto"/>
              </w:rPr>
            </w:pPr>
            <w:r>
              <w:rPr>
                <w:rFonts w:ascii="Times New Roman" w:cs="Times New Roman" w:eastAsia="Times New Roman" w:hAnsi="Times New Roman"/>
                <w:sz w:val="18"/>
                <w:szCs w:val="18"/>
                <w:color w:val="auto"/>
              </w:rPr>
              <w:t>Net income (loss) attributable to L&amp;W</w:t>
            </w:r>
          </w:p>
        </w:tc>
        <w:tc>
          <w:tcPr>
            <w:tcW w:w="820" w:type="dxa"/>
            <w:vAlign w:val="bottom"/>
            <w:tcBorders>
              <w:bottom w:val="single" w:sz="8" w:color="auto"/>
            </w:tcBorders>
            <w:shd w:val="clear" w:color="auto" w:fill="CCEEFF"/>
          </w:tcPr>
          <w:p>
            <w:pPr>
              <w:jc w:val="right"/>
              <w:ind w:right="633"/>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1.78</w:t>
            </w: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887" w:right="359" w:bottom="1440" w:gutter="0" w:footer="0" w:header="0"/>
        </w:sectPr>
      </w:pPr>
    </w:p>
    <w:p>
      <w:pPr>
        <w:ind w:left="60"/>
        <w:spacing w:after="0"/>
        <w:rPr>
          <w:sz w:val="20"/>
          <w:szCs w:val="20"/>
          <w:color w:val="auto"/>
        </w:rPr>
      </w:pPr>
      <w:r>
        <w:rPr>
          <w:rFonts w:ascii="Times New Roman" w:cs="Times New Roman" w:eastAsia="Times New Roman" w:hAnsi="Times New Roman"/>
          <w:sz w:val="17"/>
          <w:szCs w:val="17"/>
          <w:color w:val="auto"/>
        </w:rPr>
        <w:t>Weighted average number of shares used in per share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21590</wp:posOffset>
            </wp:positionV>
            <wp:extent cx="709803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shares</w:t>
      </w:r>
    </w:p>
    <w:p>
      <w:pPr>
        <w:spacing w:after="0" w:line="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Diluted shares</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Excludes D&amp;A.</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90</w:t>
            </w: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91</w:t>
            </w:r>
          </w:p>
        </w:tc>
        <w:tc>
          <w:tcPr>
            <w:tcW w:w="15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90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57"/>
        </w:trPr>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92</w:t>
            </w: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91</w:t>
            </w:r>
          </w:p>
        </w:tc>
        <w:tc>
          <w:tcPr>
            <w:tcW w:w="15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92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386" w:lineRule="exact"/>
        <w:rPr>
          <w:sz w:val="20"/>
          <w:szCs w:val="20"/>
          <w:color w:val="auto"/>
        </w:rPr>
      </w:pPr>
    </w:p>
    <w:p>
      <w:pPr>
        <w:sectPr>
          <w:pgSz w:w="11900" w:h="16838" w:orient="portrait"/>
          <w:cols w:equalWidth="0" w:num="2">
            <w:col w:w="5900" w:space="720"/>
            <w:col w:w="4600"/>
          </w:cols>
          <w:pgMar w:left="320" w:top="887" w:right="359" w:bottom="1440" w:gutter="0" w:footer="0" w:header="0"/>
          <w:type w:val="continuous"/>
        </w:sectPr>
      </w:pPr>
    </w:p>
    <w:p>
      <w:pPr>
        <w:jc w:val="center"/>
        <w:ind w:right="-33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7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 gain, net of tax</w:t>
            </w: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 unrealized gain, net of tax</w:t>
            </w:r>
          </w:p>
        </w:tc>
        <w:tc>
          <w:tcPr>
            <w:tcW w:w="9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4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9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income attributable to L&amp;W</w:t>
            </w:r>
          </w:p>
        </w:tc>
        <w:tc>
          <w:tcPr>
            <w:tcW w:w="94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5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0" w:type="dxa"/>
            <w:vAlign w:val="bottom"/>
            <w:tcBorders>
              <w:bottom w:val="single" w:sz="8" w:color="auto"/>
            </w:tcBorders>
          </w:tcPr>
          <w:p>
            <w:pPr>
              <w:spacing w:after="0"/>
              <w:rPr>
                <w:sz w:val="18"/>
                <w:szCs w:val="18"/>
                <w:color w:val="auto"/>
              </w:rPr>
            </w:pPr>
          </w:p>
        </w:tc>
      </w:tr>
      <w:tr>
        <w:trPr>
          <w:trHeight w:val="211"/>
        </w:trPr>
        <w:tc>
          <w:tcPr>
            <w:tcW w:w="69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6980" w:type="dxa"/>
            <w:vAlign w:val="bottom"/>
            <w:shd w:val="clear" w:color="auto" w:fill="CCEEFF"/>
          </w:tcPr>
          <w:p>
            <w:pPr>
              <w:ind w:left="5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credit losses of $37 and $38, respectively</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deposits and other current assets</w:t>
            </w:r>
          </w:p>
        </w:tc>
        <w:tc>
          <w:tcPr>
            <w:tcW w:w="15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credit losses of $7 and $3, respectively</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net</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8"/>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520" w:type="dxa"/>
            <w:vAlign w:val="bottom"/>
            <w:tcBorders>
              <w:bottom w:val="single" w:sz="8" w:color="auto"/>
            </w:tcBorders>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0"/>
        </w:trPr>
        <w:tc>
          <w:tcPr>
            <w:tcW w:w="850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r>
        <w:trPr>
          <w:trHeight w:val="163"/>
        </w:trPr>
        <w:tc>
          <w:tcPr>
            <w:tcW w:w="698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r>
      <w:tr>
        <w:trPr>
          <w:trHeight w:val="230"/>
        </w:trPr>
        <w:tc>
          <w:tcPr>
            <w:tcW w:w="850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520" w:type="dxa"/>
            <w:vAlign w:val="bottom"/>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15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r>
      <w:tr>
        <w:trPr>
          <w:trHeight w:val="223"/>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4,752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75"/>
        </w:trPr>
        <w:tc>
          <w:tcPr>
            <w:tcW w:w="69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par value $0.001 per share, 199 shares authorized; 117 and 116 shares issued,</w:t>
            </w:r>
          </w:p>
        </w:tc>
        <w:tc>
          <w:tcPr>
            <w:tcW w:w="15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and 89 and 90 shares outstanding, respectively</w:t>
            </w:r>
          </w:p>
        </w:tc>
        <w:tc>
          <w:tcPr>
            <w:tcW w:w="15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28 and 26 shares, respectively</w:t>
            </w: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5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3"/>
        </w:trPr>
        <w:tc>
          <w:tcPr>
            <w:tcW w:w="6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48"/>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520" w:type="dxa"/>
            <w:vAlign w:val="bottom"/>
            <w:tcBorders>
              <w:bottom w:val="single" w:sz="8" w:color="auto"/>
            </w:tcBorders>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87" w:right="37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38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accounts, excluding the effects of acquisition</w:t>
            </w: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deferred income taxes and other</w:t>
            </w:r>
          </w:p>
        </w:tc>
        <w:tc>
          <w:tcPr>
            <w:tcW w:w="1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debt issuance and deferred financing costs</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license obligations</w:t>
            </w: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contingent acquisition considerations</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L&amp;W common stock</w:t>
            </w: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SciPlay’s Class A common stock</w:t>
            </w:r>
          </w:p>
        </w:tc>
        <w:tc>
          <w:tcPr>
            <w:tcW w:w="1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redemptions of common stock under stock-based compensation plans and other</w:t>
            </w:r>
          </w:p>
        </w:tc>
        <w:tc>
          <w:tcPr>
            <w:tcW w:w="1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21"/>
        </w:trPr>
        <w:tc>
          <w:tcPr>
            <w:tcW w:w="69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380" w:type="dxa"/>
            <w:vAlign w:val="bottom"/>
            <w:tcBorders>
              <w:bottom w:val="single" w:sz="8" w:color="auto"/>
            </w:tcBorders>
            <w:shd w:val="clear" w:color="auto" w:fill="CCEEFF"/>
          </w:tcPr>
          <w:p>
            <w:pPr>
              <w:jc w:val="right"/>
              <w:ind w:right="119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contingent acquisition considerations included in operating activities</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transactions:</w:t>
            </w:r>
          </w:p>
        </w:tc>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The six months ended June 30, 2023 include $3 million in cash used in discontinued operations.</w:t>
      </w:r>
    </w:p>
    <w:p>
      <w:pPr>
        <w:spacing w:after="0" w:line="1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887" w:right="399" w:bottom="1440" w:gutter="0" w:footer="0" w:header="0"/>
        </w:sectPr>
      </w:pPr>
    </w:p>
    <w:bookmarkStart w:id="10" w:name="page11"/>
    <w:bookmarkEnd w:id="10"/>
    <w:p>
      <w:pPr>
        <w:jc w:val="center"/>
        <w:ind w:left="360" w:right="2400"/>
        <w:spacing w:after="0" w:line="268" w:lineRule="auto"/>
        <w:rPr>
          <w:sz w:val="20"/>
          <w:szCs w:val="20"/>
          <w:color w:val="auto"/>
        </w:rPr>
      </w:pPr>
      <w:r>
        <w:rPr>
          <w:rFonts w:ascii="Times New Roman" w:cs="Times New Roman" w:eastAsia="Times New Roman" w:hAnsi="Times New Roman"/>
          <w:sz w:val="18"/>
          <w:szCs w:val="18"/>
          <w:b w:val="1"/>
          <w:bCs w:val="1"/>
          <w:color w:val="auto"/>
        </w:rPr>
        <w:t>LIGHT &amp; WONDER, INC. AND SUBSIDIARIES NOTES TO CONDENSED CONSOLIDATED FINANCIAL STATEMENTS (Unaudited, amounts in USD, table amounts in millions, except per share amounts)</w:t>
      </w:r>
    </w:p>
    <w:p>
      <w:pPr>
        <w:spacing w:after="0" w:line="319" w:lineRule="exact"/>
        <w:rPr>
          <w:sz w:val="20"/>
          <w:szCs w:val="20"/>
          <w:color w:val="auto"/>
        </w:rPr>
      </w:pPr>
    </w:p>
    <w:p>
      <w:pPr>
        <w:ind w:right="51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(1) Description of the Business and Summary of Significant Accounting Policies </w:t>
      </w:r>
      <w:r>
        <w:rPr>
          <w:rFonts w:ascii="Times New Roman" w:cs="Times New Roman" w:eastAsia="Times New Roman" w:hAnsi="Times New Roman"/>
          <w:sz w:val="18"/>
          <w:szCs w:val="18"/>
          <w:i w:val="1"/>
          <w:iCs w:val="1"/>
          <w:color w:val="auto"/>
        </w:rPr>
        <w:t>Description of the Business</w:t>
      </w: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and player account management systems, as well as various other iGaming content and services. We report our results of operations in three business segments—Gaming, SciPlay and iGaming—representing our different products and services.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6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GAAP and include the accounts of L&amp;W, its wholly owned subsidiaries, and those subsidiaries in which we have a controlling financial interest. All intercompany balances and transactions have been eliminated in consolidation.</w:t>
      </w:r>
    </w:p>
    <w:p>
      <w:pPr>
        <w:spacing w:after="0" w:line="9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the opinion of L&amp;W and its management, we have made all adjustments necessary to present fairly our consolidated financial position, results of operations, comprehensive income and cash flows for the periods presented. Such adjustments are of a normal, recurring nature. These unaudited condensed consolidated financial statements should be read in conjunction with the consolidated financial statements and related notes included in our 2023 10-K. Interim results of operations are not necessarily indicative of results of operations to be expected for a full year.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changes to our significant accounting policies described within the Notes of our 2023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0"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includes gains and losses from foreign currency transactions, interest income, earnings (losses) from equity investments and other items. Other income (expense), net for the three and six months ended June 30, 2024 primarily consisted of interest income of $5 million and $10 million, respectively. For the three and six months ended June 30, 2023, other income (expense), net primarily consisted of foreign currency transaction losses, which totaled $25 million and $38 million,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 of Basic and Diluted Net Income (Loss) Attributable to L&amp;W Per Share</w:t>
      </w:r>
    </w:p>
    <w:p>
      <w:pPr>
        <w:spacing w:after="0" w:line="14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Basic and diluted net income (loss) attributable to L&amp;W per share are based upon net income (loss) attributable to L&amp;W divided by the weighted average number of common shares outstanding during the period. Diluted net income attributable to L&amp;W per share reflects the effect of the assumed exercise of stock options and RSUs only in the periods in which such effect would have been dilutive to net income.</w:t>
      </w:r>
    </w:p>
    <w:p>
      <w:pPr>
        <w:spacing w:after="0" w:line="10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2024, we included 2 million and 2 million, respectively, of common stock equivalents in the calculation of diluted net income attributable to L&amp;W per share. For the six months ended June 30, 2023, we included 2 million of common stock equivalents in the calculation of diluted net income attributable to L&amp;W per share. For the three months ended June 30, 2023, basic and diluted net loss attributable to L&amp;W per share were the same, as all common stock equivalents would have been anti-dilutive for that period. We excluded 2 million of stock options and 2 million of RSUs outstanding from the calculation of diluted weighted-average common shares outstanding for the three months ended June 30,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w:t>
      </w:r>
    </w:p>
    <w:p>
      <w:pPr>
        <w:spacing w:after="0" w:line="14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since those described within the Notes of our 2023 10-K that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our revenues by type within each of our business segments: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4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operations</w:t>
            </w:r>
          </w:p>
        </w:tc>
        <w:tc>
          <w:tcPr>
            <w:tcW w:w="11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Gaming machine sales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systems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Table products</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4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SciPlay</w:t>
            </w: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Mobile in-app purchases</w:t>
            </w:r>
          </w:p>
        </w:tc>
        <w:tc>
          <w:tcPr>
            <w:tcW w:w="11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44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Web in-app purchases and other</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iGaming</w:t>
            </w:r>
          </w:p>
        </w:tc>
        <w:tc>
          <w:tcPr>
            <w:tcW w:w="114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ind w:left="20" w:right="100" w:firstLine="6"/>
        <w:spacing w:after="0" w:line="248" w:lineRule="auto"/>
        <w:tabs>
          <w:tab w:leader="none" w:pos="2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$24 million and $36 million in revenue generated via our proprietary direct-to-consumer platform for the three and six months ended June 30, 2024, respectively, along with advertising and other revenue, which were not material for the periods presented.</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amount of rental income revenue included in services revenue within the consolidated statement of operations that is outside the scope of ASC 606 was $136 million and $263 million for the three and six months ended June 30, 2024, respectively, and $123 million and $240 million for the three and six months ended June 30, 2023,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 and Other Disclosures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in our contract liabilities for the reporting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r>
      <w:tr>
        <w:trPr>
          <w:trHeight w:val="226"/>
        </w:trPr>
        <w:tc>
          <w:tcPr>
            <w:tcW w:w="83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Contract liability balance, beginning of period</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ind w:left="2232"/>
              <w:spacing w:after="0"/>
              <w:rPr>
                <w:sz w:val="20"/>
                <w:szCs w:val="20"/>
                <w:color w:val="auto"/>
              </w:rPr>
            </w:pPr>
            <w:r>
              <w:rPr>
                <w:rFonts w:ascii="Times New Roman" w:cs="Times New Roman" w:eastAsia="Times New Roman" w:hAnsi="Times New Roman"/>
                <w:sz w:val="18"/>
                <w:szCs w:val="18"/>
                <w:color w:val="auto"/>
                <w:w w:val="99"/>
              </w:rPr>
              <w:t>27</w:t>
            </w: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recognized during the period</w:t>
            </w:r>
          </w:p>
        </w:tc>
        <w:tc>
          <w:tcPr>
            <w:tcW w:w="220" w:type="dxa"/>
            <w:vAlign w:val="bottom"/>
          </w:tcPr>
          <w:p>
            <w:pPr>
              <w:spacing w:after="0"/>
              <w:rPr>
                <w:sz w:val="19"/>
                <w:szCs w:val="19"/>
                <w:color w:val="auto"/>
              </w:rPr>
            </w:pPr>
          </w:p>
        </w:tc>
        <w:tc>
          <w:tcPr>
            <w:tcW w:w="2660" w:type="dxa"/>
            <w:vAlign w:val="bottom"/>
          </w:tcPr>
          <w:p>
            <w:pPr>
              <w:jc w:val="center"/>
              <w:ind w:left="2232"/>
              <w:spacing w:after="0"/>
              <w:rPr>
                <w:sz w:val="20"/>
                <w:szCs w:val="20"/>
                <w:color w:val="auto"/>
              </w:rPr>
            </w:pPr>
            <w:r>
              <w:rPr>
                <w:rFonts w:ascii="Times New Roman" w:cs="Times New Roman" w:eastAsia="Times New Roman" w:hAnsi="Times New Roman"/>
                <w:sz w:val="18"/>
                <w:szCs w:val="18"/>
                <w:color w:val="auto"/>
                <w:w w:val="99"/>
              </w:rPr>
              <w:t>14</w:t>
            </w: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recognized in revenue from beginning balance</w:t>
            </w:r>
          </w:p>
        </w:tc>
        <w:tc>
          <w:tcPr>
            <w:tcW w:w="2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center"/>
              <w:ind w:left="2232"/>
              <w:spacing w:after="0"/>
              <w:rPr>
                <w:sz w:val="20"/>
                <w:szCs w:val="20"/>
                <w:color w:val="auto"/>
              </w:rPr>
            </w:pPr>
            <w:r>
              <w:rPr>
                <w:rFonts w:ascii="Times New Roman" w:cs="Times New Roman" w:eastAsia="Times New Roman" w:hAnsi="Times New Roman"/>
                <w:sz w:val="18"/>
                <w:szCs w:val="18"/>
                <w:color w:val="auto"/>
                <w:w w:val="99"/>
              </w:rPr>
              <w:t>(16)</w:t>
            </w:r>
          </w:p>
        </w:tc>
      </w:tr>
      <w:tr>
        <w:trPr>
          <w:trHeight w:val="223"/>
        </w:trPr>
        <w:tc>
          <w:tcPr>
            <w:tcW w:w="83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Contract liability balance, end of period</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Borders>
              <w:bottom w:val="single" w:sz="8" w:color="auto"/>
            </w:tcBorders>
          </w:tcPr>
          <w:p>
            <w:pPr>
              <w:jc w:val="center"/>
              <w:ind w:left="2232"/>
              <w:spacing w:after="0"/>
              <w:rPr>
                <w:sz w:val="20"/>
                <w:szCs w:val="20"/>
                <w:color w:val="auto"/>
              </w:rPr>
            </w:pPr>
            <w:r>
              <w:rPr>
                <w:rFonts w:ascii="Times New Roman" w:cs="Times New Roman" w:eastAsia="Times New Roman" w:hAnsi="Times New Roman"/>
                <w:sz w:val="18"/>
                <w:szCs w:val="18"/>
                <w:color w:val="auto"/>
                <w:w w:val="99"/>
              </w:rPr>
              <w:t>25</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liabilities are included within Accrued liabilities and Other long-term liabilities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-86995</wp:posOffset>
            </wp:positionV>
            <wp:extent cx="1825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4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 The following table summarizes our balances in these accounts for the periods indicated (other than contract liabilities disclosed above):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Contract Assets</w:t>
            </w:r>
            <w:r>
              <w:rPr>
                <w:rFonts w:ascii="Times New Roman" w:cs="Times New Roman" w:eastAsia="Times New Roman" w:hAnsi="Times New Roman"/>
                <w:sz w:val="21"/>
                <w:szCs w:val="21"/>
                <w:b w:val="1"/>
                <w:bCs w:val="1"/>
                <w:color w:val="auto"/>
                <w:vertAlign w:val="superscript"/>
              </w:rPr>
              <w:t>(1)</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balance</w:t>
            </w:r>
          </w:p>
        </w:tc>
        <w:tc>
          <w:tcPr>
            <w:tcW w:w="2080" w:type="dxa"/>
            <w:vAlign w:val="bottom"/>
            <w:shd w:val="clear" w:color="auto" w:fill="CCEEFF"/>
          </w:tcPr>
          <w:p>
            <w:pPr>
              <w:jc w:val="right"/>
              <w:ind w:right="18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balance, June 30, 2024</w:t>
            </w:r>
          </w:p>
        </w:tc>
        <w:tc>
          <w:tcPr>
            <w:tcW w:w="2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assets are included primarily within Prepaid expenses, deposits and other current assets in our consolidated balance sheets.</w:t>
      </w:r>
    </w:p>
    <w:p>
      <w:pPr>
        <w:spacing w:after="0" w:line="30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we did not have material unsatisfied performance obligations for contracts expected to be long-term or contracts for which we recognize revenue at an amount other than that for which we have the right to invoice for goods or services delivered or performed.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Segments</w:t>
      </w:r>
    </w:p>
    <w:p>
      <w:pPr>
        <w:spacing w:after="0" w:line="14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report our operations in three business segments—Gaming, SciPlay and iGaming—representing our different products and services. A detailed discussion regarding the products and services from which each reportable business segment derives its revenue is included in Notes 3 and 4 in our 2023 10-K.</w:t>
      </w:r>
    </w:p>
    <w:p>
      <w:pPr>
        <w:spacing w:after="0" w:line="10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 evaluating financial performance, our Chief Operating Decision Maker (defined as our Chief Executive Officer) focuses on AEBITDA as management’s primary segment measure of profit or loss, which is described in footnote (2) to the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2" w:name="page13"/>
    <w:bookmarkEnd w:id="12"/>
    <w:p>
      <w:pPr>
        <w:ind w:right="280"/>
        <w:spacing w:after="0" w:line="282" w:lineRule="auto"/>
        <w:rPr>
          <w:sz w:val="20"/>
          <w:szCs w:val="20"/>
          <w:color w:val="auto"/>
        </w:rPr>
      </w:pPr>
      <w:r>
        <w:rPr>
          <w:rFonts w:ascii="Times New Roman" w:cs="Times New Roman" w:eastAsia="Times New Roman" w:hAnsi="Times New Roman"/>
          <w:sz w:val="18"/>
          <w:szCs w:val="18"/>
          <w:color w:val="auto"/>
        </w:rPr>
        <w:t>below table. The accounting policies for our business segments are the same as those described within the Notes in our 2023 10-K. The following tables present our segment information: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8"/>
          </w:tcPr>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ind w:left="255"/>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40" w:type="dxa"/>
            <w:vAlign w:val="bottom"/>
          </w:tcPr>
          <w:p>
            <w:pPr>
              <w:spacing w:after="0"/>
              <w:rPr>
                <w:sz w:val="13"/>
                <w:szCs w:val="13"/>
                <w:color w:val="auto"/>
              </w:rPr>
            </w:pPr>
          </w:p>
        </w:tc>
        <w:tc>
          <w:tcPr>
            <w:tcW w:w="1140" w:type="dxa"/>
            <w:vAlign w:val="bottom"/>
            <w:vMerge w:val="restart"/>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Reconciling Items</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72"/>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tc>
        <w:tc>
          <w:tcPr>
            <w:tcW w:w="1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20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(63)</w:t>
            </w:r>
          </w:p>
        </w:tc>
        <w:tc>
          <w:tcPr>
            <w:tcW w:w="1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0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6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8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0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ind w:left="20" w:right="420" w:firstLine="6"/>
        <w:spacing w:after="0" w:line="234" w:lineRule="auto"/>
        <w:tabs>
          <w:tab w:leader="none" w:pos="2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income before income taxes.</w:t>
      </w:r>
    </w:p>
    <w:p>
      <w:pPr>
        <w:spacing w:after="0" w:line="14" w:lineRule="exact"/>
        <w:rPr>
          <w:rFonts w:ascii="Times New Roman" w:cs="Times New Roman" w:eastAsia="Times New Roman" w:hAnsi="Times New Roman"/>
          <w:sz w:val="14"/>
          <w:szCs w:val="14"/>
          <w:color w:val="auto"/>
        </w:rPr>
      </w:pPr>
    </w:p>
    <w:p>
      <w:pPr>
        <w:ind w:left="20" w:right="100" w:firstLine="6"/>
        <w:spacing w:after="0" w:line="225" w:lineRule="auto"/>
        <w:tabs>
          <w:tab w:leader="none" w:pos="2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reconciled to net income before income taxes with the following adjustments, as applicable: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and disposition-related costs and other unusual items; (3) interest expense; (4) gain (loss) on debt refinancing transactions; (5) change in fair value of investments and remeasurement of debt and other; (6) other income (expense), net, including foreign currency gains or losses and earnings from equity investments; and (7) stock-based compensation. AEBITDA is presented as our primary segment measure of profit or loss.</w:t>
      </w:r>
    </w:p>
    <w:p>
      <w:pPr>
        <w:spacing w:after="0" w:line="2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p>
      <w:pPr>
        <w:spacing w:after="0" w:line="28" w:lineRule="exact"/>
        <w:rPr>
          <w:sz w:val="20"/>
          <w:szCs w:val="20"/>
          <w:color w:val="auto"/>
        </w:rPr>
      </w:pPr>
    </w:p>
    <w:tbl>
      <w:tblPr>
        <w:tblLayout w:type="fixed"/>
        <w:tblInd w:w="3360" w:type="dxa"/>
        <w:tblCellMar>
          <w:top w:w="0" w:type="dxa"/>
          <w:left w:w="0" w:type="dxa"/>
          <w:bottom w:w="0" w:type="dxa"/>
          <w:right w:w="0" w:type="dxa"/>
        </w:tblCellMar>
      </w:tblPr>
      <w:tr>
        <w:trPr>
          <w:trHeight w:val="161"/>
        </w:trPr>
        <w:tc>
          <w:tcPr>
            <w:tcW w:w="156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560" w:type="dxa"/>
            <w:vAlign w:val="bottom"/>
            <w:tcBorders>
              <w:top w:val="single" w:sz="8" w:color="auto"/>
            </w:tcBorders>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420" w:type="dxa"/>
            <w:vAlign w:val="bottom"/>
            <w:tcBorders>
              <w:top w:val="single" w:sz="8" w:color="auto"/>
            </w:tcBorders>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204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130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1"/>
        </w:trPr>
        <w:tc>
          <w:tcPr>
            <w:tcW w:w="1560" w:type="dxa"/>
            <w:vAlign w:val="bottom"/>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2040" w:type="dxa"/>
            <w:vAlign w:val="bottom"/>
          </w:tcPr>
          <w:p>
            <w:pPr>
              <w:jc w:val="center"/>
              <w:spacing w:after="0" w:line="231" w:lineRule="exact"/>
              <w:rPr>
                <w:sz w:val="20"/>
                <w:szCs w:val="20"/>
                <w:color w:val="auto"/>
              </w:rPr>
            </w:pPr>
            <w:r>
              <w:rPr>
                <w:rFonts w:ascii="Times New Roman" w:cs="Times New Roman" w:eastAsia="Times New Roman" w:hAnsi="Times New Roman"/>
                <w:sz w:val="16"/>
                <w:szCs w:val="16"/>
                <w:b w:val="1"/>
                <w:bCs w:val="1"/>
                <w:color w:val="auto"/>
                <w:w w:val="98"/>
              </w:rPr>
              <w:t>Reconciling Items</w:t>
            </w:r>
            <w:r>
              <w:rPr>
                <w:rFonts w:ascii="Times New Roman" w:cs="Times New Roman" w:eastAsia="Times New Roman" w:hAnsi="Times New Roman"/>
                <w:sz w:val="21"/>
                <w:szCs w:val="21"/>
                <w:b w:val="1"/>
                <w:bCs w:val="1"/>
                <w:color w:val="auto"/>
                <w:w w:val="98"/>
                <w:vertAlign w:val="superscript"/>
              </w:rPr>
              <w:t>(1)</w:t>
            </w: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ind w:left="20"/>
        <w:spacing w:after="0"/>
        <w:tabs>
          <w:tab w:leader="none" w:pos="3360" w:val="left"/>
        </w:tabs>
        <w:rPr>
          <w:sz w:val="20"/>
          <w:szCs w:val="20"/>
          <w:color w:val="auto"/>
        </w:rPr>
      </w:pPr>
      <w:r>
        <w:rPr>
          <w:rFonts w:ascii="Times New Roman" w:cs="Times New Roman" w:eastAsia="Times New Roman" w:hAnsi="Times New Roman"/>
          <w:sz w:val="18"/>
          <w:szCs w:val="18"/>
          <w:color w:val="auto"/>
        </w:rPr>
        <w:t>Total revenue</w:t>
      </w:r>
      <w:r>
        <w:rPr>
          <w:sz w:val="20"/>
          <w:szCs w:val="20"/>
          <w:color w:val="auto"/>
        </w:rPr>
        <w:tab/>
      </w:r>
      <w:r>
        <w:rPr>
          <w:rFonts w:ascii="Times New Roman" w:cs="Times New Roman" w:eastAsia="Times New Roman" w:hAnsi="Times New Roman"/>
          <w:sz w:val="18"/>
          <w:szCs w:val="18"/>
          <w:color w:val="auto"/>
        </w:rPr>
        <w: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Reconciling items to net income before income taxes: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D&amp;A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and other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471</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57"/>
        </w:trPr>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233</w:t>
            </w:r>
          </w:p>
        </w:tc>
        <w:tc>
          <w:tcPr>
            <w:tcW w:w="68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68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513"/>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(79)</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7"/>
        </w:trPr>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7"/>
        </w:trPr>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6"/>
        </w:trPr>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-1139825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-814070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-488315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-162560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860" w:space="660"/>
            <w:col w:w="6720"/>
          </w:cols>
          <w:pgMar w:left="320" w:top="891" w:right="339" w:bottom="1440" w:gutter="0" w:footer="0" w:header="0"/>
          <w:type w:val="continuous"/>
        </w:sectPr>
      </w:pPr>
    </w:p>
    <w:p>
      <w:pPr>
        <w:ind w:left="20" w:right="420" w:firstLine="6"/>
        <w:spacing w:after="0" w:line="244" w:lineRule="auto"/>
        <w:tabs>
          <w:tab w:leader="none" w:pos="2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income before income taxes.</w:t>
      </w: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(2) to the first table in this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 w:name="page14"/>
    <w:bookmarkEnd w:id="13"/>
    <w:p>
      <w:pPr>
        <w:ind w:left="616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p>
      <w:pPr>
        <w:spacing w:after="0" w:line="28" w:lineRule="exact"/>
        <w:rPr>
          <w:sz w:val="20"/>
          <w:szCs w:val="20"/>
          <w:color w:val="auto"/>
        </w:rPr>
      </w:pPr>
    </w:p>
    <w:tbl>
      <w:tblPr>
        <w:tblLayout w:type="fixed"/>
        <w:tblInd w:w="3400" w:type="dxa"/>
        <w:tblCellMar>
          <w:top w:w="0" w:type="dxa"/>
          <w:left w:w="0" w:type="dxa"/>
          <w:bottom w:w="0" w:type="dxa"/>
          <w:right w:w="0" w:type="dxa"/>
        </w:tblCellMar>
      </w:tblPr>
      <w:tr>
        <w:trPr>
          <w:trHeight w:val="161"/>
        </w:trPr>
        <w:tc>
          <w:tcPr>
            <w:tcW w:w="154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540" w:type="dxa"/>
            <w:vAlign w:val="bottom"/>
            <w:tcBorders>
              <w:top w:val="single" w:sz="8" w:color="auto"/>
            </w:tcBorders>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420" w:type="dxa"/>
            <w:vAlign w:val="bottom"/>
            <w:tcBorders>
              <w:top w:val="single" w:sz="8" w:color="auto"/>
            </w:tcBorders>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202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128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1"/>
        </w:trPr>
        <w:tc>
          <w:tcPr>
            <w:tcW w:w="1540" w:type="dxa"/>
            <w:vAlign w:val="bottom"/>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2020" w:type="dxa"/>
            <w:vAlign w:val="bottom"/>
          </w:tcPr>
          <w:p>
            <w:pPr>
              <w:jc w:val="center"/>
              <w:spacing w:after="0" w:line="231" w:lineRule="exact"/>
              <w:rPr>
                <w:sz w:val="20"/>
                <w:szCs w:val="20"/>
                <w:color w:val="auto"/>
              </w:rPr>
            </w:pPr>
            <w:r>
              <w:rPr>
                <w:rFonts w:ascii="Times New Roman" w:cs="Times New Roman" w:eastAsia="Times New Roman" w:hAnsi="Times New Roman"/>
                <w:sz w:val="16"/>
                <w:szCs w:val="16"/>
                <w:b w:val="1"/>
                <w:bCs w:val="1"/>
                <w:u w:val="single" w:color="auto"/>
                <w:color w:val="auto"/>
                <w:w w:val="98"/>
              </w:rPr>
              <w:t>Reconciling Items</w:t>
            </w:r>
            <w:r>
              <w:rPr>
                <w:rFonts w:ascii="Times New Roman" w:cs="Times New Roman" w:eastAsia="Times New Roman" w:hAnsi="Times New Roman"/>
                <w:sz w:val="21"/>
                <w:szCs w:val="21"/>
                <w:b w:val="1"/>
                <w:bCs w:val="1"/>
                <w:u w:val="single" w:color="auto"/>
                <w:color w:val="auto"/>
                <w:w w:val="98"/>
                <w:vertAlign w:val="superscript"/>
              </w:rPr>
              <w:t>(1)</w:t>
            </w: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707199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1995" cy="163195"/>
                    </a:xfrm>
                    <a:prstGeom prst="rect">
                      <a:avLst/>
                    </a:prstGeom>
                    <a:noFill/>
                  </pic:spPr>
                </pic:pic>
              </a:graphicData>
            </a:graphic>
          </wp:anchor>
        </w:drawing>
      </w:r>
    </w:p>
    <w:p>
      <w:pPr>
        <w:sectPr>
          <w:pgSz w:w="11900" w:h="16838" w:orient="portrait"/>
          <w:cols w:equalWidth="0" w:num="1">
            <w:col w:w="11200"/>
          </w:cols>
          <w:pgMar w:left="320" w:top="934" w:right="379" w:bottom="1440" w:gutter="0" w:footer="0" w:header="0"/>
        </w:sectPr>
      </w:pPr>
    </w:p>
    <w:p>
      <w:pPr>
        <w:ind w:left="80"/>
        <w:spacing w:after="0"/>
        <w:tabs>
          <w:tab w:leader="none" w:pos="3400" w:val="left"/>
        </w:tabs>
        <w:rPr>
          <w:sz w:val="20"/>
          <w:szCs w:val="20"/>
          <w:color w:val="auto"/>
        </w:rPr>
      </w:pPr>
      <w:r>
        <w:rPr>
          <w:rFonts w:ascii="Times New Roman" w:cs="Times New Roman" w:eastAsia="Times New Roman" w:hAnsi="Times New Roman"/>
          <w:sz w:val="18"/>
          <w:szCs w:val="18"/>
          <w:color w:val="auto"/>
        </w:rPr>
        <w:t>Total revenue</w:t>
      </w:r>
      <w:r>
        <w:rPr>
          <w:sz w:val="20"/>
          <w:szCs w:val="20"/>
          <w:color w:val="auto"/>
        </w:rPr>
        <w:tab/>
      </w:r>
      <w:r>
        <w:rPr>
          <w:rFonts w:ascii="Times New Roman" w:cs="Times New Roman" w:eastAsia="Times New Roman" w:hAnsi="Times New Roman"/>
          <w:sz w:val="18"/>
          <w:szCs w:val="18"/>
          <w:color w:val="auto"/>
        </w:rPr>
        <w:t>$</w:t>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Reconciling items to net income before income taxes:</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D&amp;A</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Restructuring and other</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Net income before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1,016</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57"/>
        </w:trPr>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504</w:t>
            </w:r>
          </w:p>
        </w:tc>
        <w:tc>
          <w:tcPr>
            <w:tcW w:w="68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68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64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513"/>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57"/>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57"/>
        </w:trPr>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6"/>
        </w:trPr>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7"/>
        </w:trPr>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-1139190</wp:posOffset>
            </wp:positionV>
            <wp:extent cx="707199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1995" cy="16256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-814070</wp:posOffset>
            </wp:positionV>
            <wp:extent cx="707199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1995" cy="16319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-487680</wp:posOffset>
            </wp:positionV>
            <wp:extent cx="707199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1995" cy="16319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-162560</wp:posOffset>
            </wp:positionV>
            <wp:extent cx="707199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1995"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00" w:space="500"/>
            <w:col w:w="6800"/>
          </w:cols>
          <w:pgMar w:left="320" w:top="934" w:right="379" w:bottom="1440" w:gutter="0" w:footer="0" w:header="0"/>
          <w:type w:val="continuous"/>
        </w:sectPr>
      </w:pPr>
    </w:p>
    <w:p>
      <w:pPr>
        <w:ind w:left="80" w:right="320" w:hanging="7"/>
        <w:spacing w:after="0" w:line="244" w:lineRule="auto"/>
        <w:tabs>
          <w:tab w:leader="none" w:pos="28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income before income taxes.</w:t>
      </w:r>
    </w:p>
    <w:p>
      <w:pPr>
        <w:ind w:left="280" w:hanging="207"/>
        <w:spacing w:after="0"/>
        <w:tabs>
          <w:tab w:leader="none" w:pos="2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(2) to the first table in this Note 3.</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40" w:type="dxa"/>
            <w:vAlign w:val="bottom"/>
          </w:tcPr>
          <w:p>
            <w:pPr>
              <w:spacing w:after="0"/>
              <w:rPr>
                <w:sz w:val="13"/>
                <w:szCs w:val="13"/>
                <w:color w:val="auto"/>
              </w:rPr>
            </w:pPr>
          </w:p>
        </w:tc>
        <w:tc>
          <w:tcPr>
            <w:tcW w:w="1140" w:type="dxa"/>
            <w:vAlign w:val="bottom"/>
            <w:vMerge w:val="restart"/>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Reconciling Items</w:t>
            </w:r>
            <w:r>
              <w:rPr>
                <w:rFonts w:ascii="Times New Roman" w:cs="Times New Roman" w:eastAsia="Times New Roman" w:hAnsi="Times New Roman"/>
                <w:sz w:val="21"/>
                <w:szCs w:val="21"/>
                <w:b w:val="1"/>
                <w:bCs w:val="1"/>
                <w:color w:val="auto"/>
                <w:w w:val="98"/>
                <w:vertAlign w:val="superscript"/>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center"/>
              <w:ind w:left="813"/>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72"/>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tc>
        <w:tc>
          <w:tcPr>
            <w:tcW w:w="10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707199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1995" cy="16319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ectPr>
          <w:pgSz w:w="11900" w:h="16838" w:orient="portrait"/>
          <w:cols w:equalWidth="0" w:num="1">
            <w:col w:w="11200"/>
          </w:cols>
          <w:pgMar w:left="320" w:top="934" w:right="379" w:bottom="1440" w:gutter="0" w:footer="0" w:header="0"/>
          <w:type w:val="continuous"/>
        </w:sectPr>
      </w:pP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D&amp;A</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Restructuring and other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Net income before income taxes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2"/>
              </w:rPr>
              <w:t>(156)</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(17)</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1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1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-745490</wp:posOffset>
            </wp:positionV>
            <wp:extent cx="707199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1995" cy="14541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-454025</wp:posOffset>
            </wp:positionV>
            <wp:extent cx="707199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1995" cy="14605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-162560</wp:posOffset>
            </wp:positionV>
            <wp:extent cx="7071995"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1995" cy="1625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40" w:space="720"/>
            <w:col w:w="6740"/>
          </w:cols>
          <w:pgMar w:left="320" w:top="934" w:right="379" w:bottom="1440" w:gutter="0" w:footer="0" w:header="0"/>
          <w:type w:val="continuous"/>
        </w:sectPr>
      </w:pPr>
    </w:p>
    <w:p>
      <w:pPr>
        <w:ind w:left="80" w:right="320" w:hanging="7"/>
        <w:spacing w:after="0" w:line="248" w:lineRule="auto"/>
        <w:tabs>
          <w:tab w:leader="none" w:pos="284"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income before income taxes.</w:t>
      </w:r>
    </w:p>
    <w:p>
      <w:pPr>
        <w:spacing w:after="0" w:line="49" w:lineRule="exact"/>
        <w:rPr>
          <w:rFonts w:ascii="Times New Roman" w:cs="Times New Roman" w:eastAsia="Times New Roman" w:hAnsi="Times New Roman"/>
          <w:sz w:val="14"/>
          <w:szCs w:val="14"/>
          <w:color w:val="auto"/>
        </w:rPr>
      </w:pPr>
    </w:p>
    <w:p>
      <w:pPr>
        <w:ind w:left="280" w:hanging="207"/>
        <w:spacing w:after="0"/>
        <w:tabs>
          <w:tab w:leader="none" w:pos="2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(2) to the first table in this Note 3.</w:t>
      </w:r>
    </w:p>
    <w:p>
      <w:pPr>
        <w:spacing w:after="0" w:line="271"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w:t>
      </w:r>
    </w:p>
    <w:p>
      <w:pPr>
        <w:spacing w:after="0" w:line="14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Restructuring and other includes charges or expenses attributable to: (i) employee severance; (ii) management restructuring and related costs; (iii) restructuring and integration; (iv) cost savings initiatives; (v) major litigation; and (vi) acquisition- and disposition-related costs and other unusual items. The following table summarizes pre-tax restructuring and other costs for the periods presented:</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3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related</w:t>
            </w: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related</w:t>
            </w:r>
          </w:p>
        </w:tc>
        <w:tc>
          <w:tcPr>
            <w:tcW w:w="1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Strategic review and related</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acquisition consideration</w:t>
            </w:r>
            <w:r>
              <w:rPr>
                <w:rFonts w:ascii="Times New Roman" w:cs="Times New Roman" w:eastAsia="Times New Roman" w:hAnsi="Times New Roman"/>
                <w:sz w:val="23"/>
                <w:szCs w:val="23"/>
                <w:color w:val="auto"/>
                <w:vertAlign w:val="superscript"/>
              </w:rPr>
              <w:t>(2)</w:t>
            </w:r>
          </w:p>
        </w:tc>
        <w:tc>
          <w:tcPr>
            <w:tcW w:w="1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integration and other</w:t>
            </w: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4" w:lineRule="exact"/>
        <w:rPr>
          <w:sz w:val="20"/>
          <w:szCs w:val="20"/>
          <w:color w:val="auto"/>
        </w:rPr>
      </w:pPr>
    </w:p>
    <w:p>
      <w:pPr>
        <w:ind w:left="80" w:right="40" w:hanging="7"/>
        <w:spacing w:after="0" w:line="251" w:lineRule="auto"/>
        <w:tabs>
          <w:tab w:leader="none" w:pos="28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associated with the SciPlay merger, ASX listing, sale of discontinued operations (including ongoing separation activities), rebranding and related activities. Refer to the Notes in our 2023 10-K for more information regarding these activities.</w:t>
      </w:r>
    </w:p>
    <w:p>
      <w:pPr>
        <w:ind w:left="280" w:hanging="207"/>
        <w:spacing w:after="0"/>
        <w:tabs>
          <w:tab w:leader="none" w:pos="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contingent consideration fair value adjustments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-301625</wp:posOffset>
            </wp:positionV>
            <wp:extent cx="43287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28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4" w:right="3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Receivables, Allowance for Credit Losses and Credit Quality of Receivables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current and long-term receivables, net: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2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120" w:type="dxa"/>
            <w:vAlign w:val="bottom"/>
          </w:tcPr>
          <w:p>
            <w:pPr>
              <w:jc w:val="right"/>
              <w:ind w:right="19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receivables, net</w:t>
            </w:r>
          </w:p>
        </w:tc>
        <w:tc>
          <w:tcPr>
            <w:tcW w:w="2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Long-term:</w:t>
            </w:r>
          </w:p>
        </w:tc>
        <w:tc>
          <w:tcPr>
            <w:tcW w:w="2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Long-term receivables, net</w:t>
            </w:r>
          </w:p>
        </w:tc>
        <w:tc>
          <w:tcPr>
            <w:tcW w:w="2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 net</w:t>
            </w:r>
          </w:p>
        </w:tc>
        <w:tc>
          <w:tcPr>
            <w:tcW w:w="2120" w:type="dxa"/>
            <w:vAlign w:val="bottom"/>
            <w:tcBorders>
              <w:bottom w:val="single" w:sz="8" w:color="auto"/>
            </w:tcBorders>
            <w:shd w:val="clear" w:color="auto" w:fill="CCEEFF"/>
          </w:tcPr>
          <w:p>
            <w:pPr>
              <w:jc w:val="right"/>
              <w:ind w:right="19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4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manage our receivable portfolios using both geography and delinquency as key credit quality indicators. The following table summarizes geographical delinquencies of total receivables, 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180" w:type="dxa"/>
            <w:vAlign w:val="bottom"/>
          </w:tcPr>
          <w:p>
            <w:pPr>
              <w:spacing w:after="0"/>
              <w:rPr>
                <w:sz w:val="13"/>
                <w:szCs w:val="13"/>
                <w:color w:val="auto"/>
              </w:rPr>
            </w:pPr>
          </w:p>
        </w:tc>
        <w:tc>
          <w:tcPr>
            <w:tcW w:w="1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3"/>
                <w:szCs w:val="13"/>
                <w:color w:val="auto"/>
              </w:rPr>
            </w:pPr>
          </w:p>
        </w:tc>
        <w:tc>
          <w:tcPr>
            <w:tcW w:w="1660" w:type="dxa"/>
            <w:vAlign w:val="bottom"/>
          </w:tcPr>
          <w:p>
            <w:pPr>
              <w:jc w:val="right"/>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0" w:type="dxa"/>
            <w:vAlign w:val="bottom"/>
          </w:tcPr>
          <w:p>
            <w:pPr>
              <w:spacing w:after="0"/>
              <w:rPr>
                <w:sz w:val="1"/>
                <w:szCs w:val="1"/>
                <w:color w:val="auto"/>
              </w:rPr>
            </w:pPr>
          </w:p>
        </w:tc>
      </w:tr>
      <w:tr>
        <w:trPr>
          <w:trHeight w:val="211"/>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and Canada</w:t>
            </w:r>
          </w:p>
        </w:tc>
        <w:tc>
          <w:tcPr>
            <w:tcW w:w="1360" w:type="dxa"/>
            <w:vAlign w:val="bottom"/>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3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3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receivables</w:t>
            </w:r>
          </w:p>
        </w:tc>
        <w:tc>
          <w:tcPr>
            <w:tcW w:w="136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allowance:</w:t>
            </w: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and Canada</w:t>
            </w:r>
          </w:p>
        </w:tc>
        <w:tc>
          <w:tcPr>
            <w:tcW w:w="1360" w:type="dxa"/>
            <w:vAlign w:val="bottom"/>
          </w:tcPr>
          <w:p>
            <w:pPr>
              <w:spacing w:after="0"/>
              <w:rPr>
                <w:sz w:val="19"/>
                <w:szCs w:val="19"/>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3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receivables allowance</w:t>
            </w:r>
          </w:p>
        </w:tc>
        <w:tc>
          <w:tcPr>
            <w:tcW w:w="1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36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Account balances are charged against the allowances after all internal and external collection efforts have been exhausted and the potential for recovery is considered remote.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activity in our allowance for receivable credit losses for each of the three and six months ended June 30, 2024 and 2023 is as follows: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64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U.S. and Canada</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allowance for credit losses</w:t>
            </w:r>
          </w:p>
        </w:tc>
        <w:tc>
          <w:tcPr>
            <w:tcW w:w="1100" w:type="dxa"/>
            <w:vAlign w:val="bottom"/>
            <w:tcBorders>
              <w:top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March 31</w:t>
            </w:r>
          </w:p>
        </w:tc>
        <w:tc>
          <w:tcPr>
            <w:tcW w:w="11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June 30</w:t>
            </w:r>
          </w:p>
        </w:tc>
        <w:tc>
          <w:tcPr>
            <w:tcW w:w="110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5% of our total receivables, net, were past due by over 90 days, compared to 9% as of December 31, 2023.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Credit Quality of Receivables</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in the Latin America region (“LATAM”) and are primarily comprised of Mexico, Peru and Argentina. The following table summarizes our LATAM receivables: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4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over 90 days past due</w:t>
            </w: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600" w:type="dxa"/>
            <w:vAlign w:val="bottom"/>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6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(11)</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600" w:type="dxa"/>
            <w:vAlign w:val="bottom"/>
            <w:tcBorders>
              <w:bottom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ind w:right="16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We continuously review receivables and, as information concerning credit quality and/or overall economic environment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spacing w:after="0" w:line="9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receivables is estimated by discounting expected future cash flows using current interest rates at which similar loans would be made to borrowers with similar credit ratings and remaining maturities. As of June 30, 2024 and December 31, 2023, the fair value of receivables, net, approximated the carrying value due to contractual terms of receivables generally being less than 24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2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work-in-process</w:t>
            </w:r>
          </w:p>
        </w:tc>
        <w:tc>
          <w:tcPr>
            <w:tcW w:w="2120" w:type="dxa"/>
            <w:vAlign w:val="bottom"/>
            <w:shd w:val="clear" w:color="auto" w:fill="CCEEFF"/>
          </w:tcPr>
          <w:p>
            <w:pPr>
              <w:jc w:val="right"/>
              <w:ind w:right="19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120" w:type="dxa"/>
            <w:vAlign w:val="bottom"/>
            <w:tcBorders>
              <w:bottom w:val="single" w:sz="8" w:color="auto"/>
            </w:tcBorders>
            <w:shd w:val="clear" w:color="auto" w:fill="CCEEFF"/>
          </w:tcPr>
          <w:p>
            <w:pPr>
              <w:jc w:val="right"/>
              <w:ind w:right="19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Parts and work-in-process include parts for gaming machines and our finished goods inventory primarily consist of gaming machines for sale.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0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80" w:type="dxa"/>
            <w:vAlign w:val="bottom"/>
            <w:shd w:val="clear" w:color="auto" w:fill="CCEEFF"/>
          </w:tcPr>
          <w:p>
            <w:pPr>
              <w:jc w:val="right"/>
              <w:ind w:right="18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machinery and equipment</w:t>
            </w:r>
          </w:p>
        </w:tc>
        <w:tc>
          <w:tcPr>
            <w:tcW w:w="2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3"/>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80" w:type="dxa"/>
            <w:vAlign w:val="bottom"/>
            <w:tcBorders>
              <w:bottom w:val="single" w:sz="8" w:color="auto"/>
            </w:tcBorders>
          </w:tcPr>
          <w:p>
            <w:pPr>
              <w:jc w:val="right"/>
              <w:ind w:right="18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56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Depreciation expense is excluded from cost of services, cost of products and other operating expenses and is separately presented within D&amp;A.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292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40" w:type="dxa"/>
            <w:vAlign w:val="bottom"/>
            <w:tcBorders>
              <w:bottom w:val="single" w:sz="8" w:color="auto"/>
            </w:tcBorders>
          </w:tcPr>
          <w:p>
            <w:pPr>
              <w:spacing w:after="0"/>
              <w:rPr>
                <w:sz w:val="18"/>
                <w:szCs w:val="18"/>
                <w:color w:val="auto"/>
              </w:rPr>
            </w:pPr>
          </w:p>
        </w:tc>
      </w:tr>
      <w:tr>
        <w:trPr>
          <w:trHeight w:val="211"/>
        </w:trPr>
        <w:tc>
          <w:tcPr>
            <w:tcW w:w="43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18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 net and 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regarding our intangible assets as of June 30, 2024 and December 31, 2023.</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74"/>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1240" w:type="dxa"/>
            <w:vAlign w:val="bottom"/>
            <w:gridSpan w:val="4"/>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5"/>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(567)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Brand names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240" w:type="dxa"/>
            <w:vAlign w:val="bottom"/>
            <w:gridSpan w:val="13"/>
          </w:tcPr>
          <w:p>
            <w:pPr>
              <w:jc w:val="right"/>
              <w:ind w:right="1020"/>
              <w:spacing w:after="0"/>
              <w:rPr>
                <w:sz w:val="20"/>
                <w:szCs w:val="20"/>
                <w:color w:val="auto"/>
              </w:rPr>
            </w:pPr>
            <w:r>
              <w:rPr>
                <w:rFonts w:ascii="Times New Roman" w:cs="Times New Roman" w:eastAsia="Times New Roman" w:hAnsi="Times New Roman"/>
                <w:sz w:val="18"/>
                <w:szCs w:val="18"/>
                <w:color w:val="auto"/>
              </w:rPr>
              <w:t>The following reflects intangible amortization expense included within D&amp;A:</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9"/>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3"/>
          </w:tcPr>
          <w:p>
            <w:pPr>
              <w:jc w:val="center"/>
              <w:ind w:right="51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Amortization expense</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4"/>
          <w:szCs w:val="14"/>
          <w:color w:val="auto"/>
        </w:rPr>
        <w:t>(1) The three and six months ended June 30, 2023 include intangible assets non-cash impairment charge of $4 million related to SciPlay restructuring of a certain foreign studio.</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reconciles the change in the carrying value of goodwill, by business segment, for the period from December 31, 2023 to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Gaming</w:t>
            </w:r>
            <w:r>
              <w:rPr>
                <w:rFonts w:ascii="Times New Roman" w:cs="Times New Roman" w:eastAsia="Times New Roman" w:hAnsi="Times New Roman"/>
                <w:sz w:val="21"/>
                <w:szCs w:val="21"/>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30"/>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r>
    </w:tbl>
    <w:p>
      <w:pPr>
        <w:ind w:left="20"/>
        <w:spacing w:after="0"/>
        <w:rPr>
          <w:sz w:val="20"/>
          <w:szCs w:val="20"/>
          <w:color w:val="auto"/>
        </w:rPr>
      </w:pPr>
      <w:r>
        <w:rPr>
          <w:rFonts w:ascii="Times New Roman" w:cs="Times New Roman" w:eastAsia="Times New Roman" w:hAnsi="Times New Roman"/>
          <w:sz w:val="14"/>
          <w:szCs w:val="14"/>
          <w:color w:val="auto"/>
        </w:rPr>
        <w:t>(1) Accumulated goodwill impairment charges for the Gaming segment as of June 30, 2024 were $989 million.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Software, net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Software, net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88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18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8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net</w:t>
            </w:r>
          </w:p>
        </w:tc>
        <w:tc>
          <w:tcPr>
            <w:tcW w:w="18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18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7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920" w:type="dxa"/>
            <w:vAlign w:val="bottom"/>
            <w:gridSpan w:val="2"/>
          </w:tcPr>
          <w:p>
            <w:pPr>
              <w:jc w:val="right"/>
              <w:ind w:right="1913"/>
              <w:spacing w:after="0"/>
              <w:rPr>
                <w:sz w:val="20"/>
                <w:szCs w:val="20"/>
                <w:color w:val="auto"/>
              </w:rPr>
            </w:pPr>
            <w:r>
              <w:rPr>
                <w:rFonts w:ascii="Times New Roman" w:cs="Times New Roman" w:eastAsia="Times New Roman" w:hAnsi="Times New Roman"/>
                <w:sz w:val="18"/>
                <w:szCs w:val="18"/>
                <w:color w:val="auto"/>
              </w:rPr>
              <w:t>17</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The following reflects amortization of software included within D&amp;A:</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9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60" w:type="dxa"/>
            <w:vAlign w:val="bottom"/>
            <w:tcBorders>
              <w:bottom w:val="single" w:sz="8" w:color="auto"/>
            </w:tcBorders>
          </w:tcPr>
          <w:p>
            <w:pPr>
              <w:spacing w:after="0"/>
              <w:rPr>
                <w:sz w:val="18"/>
                <w:szCs w:val="18"/>
                <w:color w:val="auto"/>
              </w:rPr>
            </w:pPr>
          </w:p>
        </w:tc>
      </w:tr>
      <w:tr>
        <w:trPr>
          <w:trHeight w:val="211"/>
        </w:trPr>
        <w:tc>
          <w:tcPr>
            <w:tcW w:w="44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our outstanding debt (in order of priority and maturity):</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2"/>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157"/>
        </w:trPr>
        <w:tc>
          <w:tcPr>
            <w:tcW w:w="3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Unamortized debt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discount/premium</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Final</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and deferred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Rate(s)</w:t>
            </w:r>
          </w:p>
        </w:tc>
        <w:tc>
          <w:tcPr>
            <w:tcW w:w="140" w:type="dxa"/>
            <w:vAlign w:val="bottom"/>
          </w:tcPr>
          <w:p>
            <w:pPr>
              <w:spacing w:after="0"/>
              <w:rPr>
                <w:sz w:val="14"/>
                <w:szCs w:val="14"/>
                <w:color w:val="auto"/>
              </w:rPr>
            </w:pP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Face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financing costs,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120" w:type="dxa"/>
            <w:vAlign w:val="bottom"/>
          </w:tcPr>
          <w:p>
            <w:pPr>
              <w:spacing w:after="0"/>
              <w:rPr>
                <w:sz w:val="14"/>
                <w:szCs w:val="14"/>
                <w:color w:val="auto"/>
              </w:rPr>
            </w:pPr>
          </w:p>
        </w:tc>
        <w:tc>
          <w:tcPr>
            <w:tcW w:w="1140" w:type="dxa"/>
            <w:vAlign w:val="bottom"/>
            <w:vMerge w:val="restart"/>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7"/>
              </w:rPr>
              <w:t>Book Value</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LNWI Revolver</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LNWI Term Loan B</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LNWI Senior Notes: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 Unsecured Notes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 Unsecured Notes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2031 Unsecured Notes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outstanding</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Borders>
              <w:bottom w:val="single" w:sz="8" w:color="CCEEFF"/>
            </w:tcBorders>
            <w:vMerge w:val="continue"/>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8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197"/>
        </w:trPr>
        <w:tc>
          <w:tcPr>
            <w:tcW w:w="3740" w:type="dxa"/>
            <w:vAlign w:val="bottom"/>
            <w:tcBorders>
              <w:top w:val="single" w:sz="8" w:color="CCEEFF"/>
            </w:tcBorders>
          </w:tcPr>
          <w:p>
            <w:pPr>
              <w:ind w:left="220"/>
              <w:spacing w:after="0" w:line="197" w:lineRule="exact"/>
              <w:rPr>
                <w:sz w:val="20"/>
                <w:szCs w:val="20"/>
                <w:color w:val="auto"/>
              </w:rPr>
            </w:pPr>
            <w:r>
              <w:rPr>
                <w:rFonts w:ascii="Times New Roman" w:cs="Times New Roman" w:eastAsia="Times New Roman" w:hAnsi="Times New Roman"/>
                <w:sz w:val="17"/>
                <w:szCs w:val="17"/>
                <w:color w:val="auto"/>
              </w:rPr>
              <w:t>Fair value of debt</w:t>
            </w:r>
            <w:r>
              <w:rPr>
                <w:rFonts w:ascii="Times New Roman" w:cs="Times New Roman" w:eastAsia="Times New Roman" w:hAnsi="Times New Roman"/>
                <w:sz w:val="22"/>
                <w:szCs w:val="22"/>
                <w:color w:val="auto"/>
                <w:vertAlign w:val="superscript"/>
              </w:rPr>
              <w:t>(1)</w:t>
            </w: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3,940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4"/>
          <w:szCs w:val="14"/>
          <w:color w:val="auto"/>
        </w:rPr>
        <w:t>(1) Fair value of our fixed rate and variable interest rate debt is classified within Level 2 in the fair value hierarchy and has been calculated based on the quoted market prices of our securities.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LNWI Term Loan B Repricing</w:t>
      </w:r>
    </w:p>
    <w:p>
      <w:pPr>
        <w:spacing w:after="0" w:line="14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July 17, 2024, we amended the LNWI Credit Agreement and reduced the applicable margin on the LNWI Term Loan B. Following the amendment, the interest rate for the Term Loan B is either (i) the Adjusted Term SOFR Rate (as defined in the LNWI Credit Agreement) plus 2.25% per annum or (ii) a base rate plus 1.25% per annum.</w:t>
      </w:r>
    </w:p>
    <w:p>
      <w:pPr>
        <w:spacing w:after="0" w:line="108"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were in compliance with the financial covenants under all debt agreements as of June 30, 2024 (for information regarding our financial covenants of all debt agreements, see Note 15 in our 2023 10-K).</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regarding the terms of our credit facilities and Senior Notes, see Note 15 in our 2023 10-K.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we held the following derivative instruments that were accounted for pursuant to ASC 815: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Swap Contracts</w:t>
      </w:r>
    </w:p>
    <w:p>
      <w:pPr>
        <w:spacing w:after="0" w:line="15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use interest rate swap contracts as described below to manage exposure to interest rate fluctuations by reducing the uncertainty of future cash flows on a portion of our variable rate debt.</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18" w:name="page19"/>
    <w:bookmarkEnd w:id="18"/>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June 30, 2024. These hedges mature in April 2027.</w:t>
      </w:r>
    </w:p>
    <w:p>
      <w:pPr>
        <w:spacing w:after="0" w:line="11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gain and interest income on our interest rate swap contracts: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8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recorded in accumulated other comprehensive loss, net of tax</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75"/>
        </w:trPr>
        <w:tc>
          <w:tcPr>
            <w:tcW w:w="5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income related to interest rate swap contracts recorded in</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to reclassify material amounts from accumulated other comprehensive loss to interest expense in the next twelve months.</w:t>
      </w:r>
    </w:p>
    <w:p>
      <w:pPr>
        <w:spacing w:after="0" w:line="15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interest rate swap contracts designated as cash flow hedges on interest expense in the consolidated statements of income:</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r>
      <w:tr>
        <w:trPr>
          <w:trHeight w:val="211"/>
        </w:trPr>
        <w:tc>
          <w:tcPr>
            <w:tcW w:w="276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r>
      <w:tr>
        <w:trPr>
          <w:trHeight w:val="157"/>
        </w:trPr>
        <w:tc>
          <w:tcPr>
            <w:tcW w:w="4840" w:type="dxa"/>
            <w:vAlign w:val="bottom"/>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Total interest expense which reflects the effects of cash flow</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2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Hedged item</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45"/>
        </w:trPr>
        <w:tc>
          <w:tcPr>
            <w:tcW w:w="51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following table shows the fair value of our hedges: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85"/>
        </w:trPr>
        <w:tc>
          <w:tcPr>
            <w:tcW w:w="2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As of</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214"/>
        </w:trPr>
        <w:tc>
          <w:tcPr>
            <w:tcW w:w="2760" w:type="dxa"/>
            <w:vAlign w:val="bottom"/>
            <w:tcBorders>
              <w:bottom w:val="single" w:sz="8" w:color="CCEEFF"/>
            </w:tcBorders>
          </w:tcPr>
          <w:p>
            <w:pPr>
              <w:spacing w:after="0"/>
              <w:rPr>
                <w:sz w:val="18"/>
                <w:szCs w:val="18"/>
                <w:color w:val="auto"/>
              </w:rPr>
            </w:pPr>
          </w:p>
        </w:tc>
        <w:tc>
          <w:tcPr>
            <w:tcW w:w="24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Balance Sheet Line Item</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500" w:type="dxa"/>
            <w:vAlign w:val="bottom"/>
            <w:tcBorders>
              <w:bottom w:val="single" w:sz="8" w:color="auto"/>
            </w:tcBorders>
          </w:tcPr>
          <w:p>
            <w:pPr>
              <w:spacing w:after="0"/>
              <w:rPr>
                <w:sz w:val="18"/>
                <w:szCs w:val="18"/>
                <w:color w:val="auto"/>
              </w:rPr>
            </w:pPr>
          </w:p>
        </w:tc>
      </w:tr>
      <w:tr>
        <w:trPr>
          <w:trHeight w:val="22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420" w:type="dxa"/>
            <w:vAlign w:val="bottom"/>
            <w:gridSpan w:val="2"/>
            <w:shd w:val="clear" w:color="auto" w:fill="CCEEFF"/>
          </w:tcPr>
          <w:p>
            <w:pPr>
              <w:jc w:val="right"/>
              <w:ind w:right="1540"/>
              <w:spacing w:after="0"/>
              <w:rPr>
                <w:sz w:val="20"/>
                <w:szCs w:val="20"/>
                <w:color w:val="auto"/>
              </w:rPr>
            </w:pPr>
            <w:r>
              <w:rPr>
                <w:rFonts w:ascii="Times New Roman" w:cs="Times New Roman" w:eastAsia="Times New Roman" w:hAnsi="Times New Roman"/>
                <w:sz w:val="18"/>
                <w:szCs w:val="18"/>
                <w:color w:val="auto"/>
                <w:w w:val="98"/>
              </w:rPr>
              <w:t>Other assets</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Acquisition Consideration Liabilities</w:t>
      </w:r>
    </w:p>
    <w:p>
      <w:pPr>
        <w:spacing w:after="0" w:line="16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9" w:name="page20"/>
    <w:bookmarkEnd w:id="1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 in the contingent acquisition consideration liabilities (including deferred purchase price) for the period from December 31, 2023 to June 30,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54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Included in Accrued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Included in Other Long-Term</w:t>
            </w:r>
          </w:p>
        </w:tc>
        <w:tc>
          <w:tcPr>
            <w:tcW w:w="0" w:type="dxa"/>
            <w:vAlign w:val="bottom"/>
          </w:tcPr>
          <w:p>
            <w:pPr>
              <w:spacing w:after="0"/>
              <w:rPr>
                <w:sz w:val="1"/>
                <w:szCs w:val="1"/>
                <w:color w:val="auto"/>
              </w:rPr>
            </w:pPr>
          </w:p>
        </w:tc>
      </w:tr>
      <w:tr>
        <w:trPr>
          <w:trHeight w:val="214"/>
        </w:trPr>
        <w:tc>
          <w:tcPr>
            <w:tcW w:w="45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40" w:type="dxa"/>
            <w:vAlign w:val="bottom"/>
            <w:shd w:val="clear" w:color="auto" w:fill="CCEEFF"/>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adjustments</w:t>
            </w: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3"/>
                <w:szCs w:val="23"/>
                <w:color w:val="auto"/>
                <w:vertAlign w:val="superscript"/>
              </w:rPr>
              <w:t>(1)</w:t>
            </w:r>
          </w:p>
        </w:tc>
        <w:tc>
          <w:tcPr>
            <w:tcW w:w="1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540" w:type="dxa"/>
            <w:vAlign w:val="bottom"/>
            <w:shd w:val="clear" w:color="auto" w:fill="CCEEFF"/>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940" w:type="dxa"/>
            <w:vAlign w:val="bottom"/>
            <w:gridSpan w:val="2"/>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ind w:left="20" w:right="560" w:firstLine="6"/>
        <w:spacing w:after="0" w:line="234" w:lineRule="auto"/>
        <w:tabs>
          <w:tab w:leader="none" w:pos="2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extinguishment of $5 million in redeemable non-controlling interest liability associated with SciPlay’s acquisition of Alictus Yazilim Anonim Şirketi in 2022, as specified financial targets for the second year were not met. The gain was recorded in other income (expense), net in our consolidated statements of income.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Stockholders’ Equity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regarding our stockholders’ equity as of June 30,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4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4"/>
                <w:szCs w:val="14"/>
                <w:color w:val="auto"/>
              </w:rPr>
            </w:pPr>
          </w:p>
        </w:tc>
        <w:tc>
          <w:tcPr>
            <w:tcW w:w="7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3"/>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of liability awards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1"/>
          </w:tcPr>
          <w:p>
            <w:pPr>
              <w:ind w:left="78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3"/>
                <w:szCs w:val="13"/>
                <w:color w:val="auto"/>
              </w:rPr>
            </w:pPr>
          </w:p>
        </w:tc>
        <w:tc>
          <w:tcPr>
            <w:tcW w:w="10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3"/>
                <w:szCs w:val="13"/>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4"/>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24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560" w:type="dxa"/>
            <w:vAlign w:val="bottom"/>
            <w:gridSpan w:val="4"/>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520" w:type="dxa"/>
            <w:vAlign w:val="bottom"/>
          </w:tcPr>
          <w:p>
            <w:pPr>
              <w:spacing w:after="0"/>
              <w:rPr>
                <w:sz w:val="18"/>
                <w:szCs w:val="18"/>
                <w:color w:val="auto"/>
              </w:rPr>
            </w:pPr>
          </w:p>
        </w:tc>
        <w:tc>
          <w:tcPr>
            <w:tcW w:w="104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24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of liability awards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25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Vesting of RSUs, net of tax</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withholdings and other</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25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Purchase of SciPlay’s Class A</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540" w:type="dxa"/>
            <w:vAlign w:val="bottom"/>
          </w:tcPr>
          <w:p>
            <w:pPr>
              <w:ind w:left="120"/>
              <w:spacing w:after="0" w:line="156" w:lineRule="exact"/>
              <w:rPr>
                <w:sz w:val="20"/>
                <w:szCs w:val="20"/>
                <w:color w:val="auto"/>
              </w:rPr>
            </w:pPr>
            <w:r>
              <w:rPr>
                <w:rFonts w:ascii="Times New Roman" w:cs="Times New Roman" w:eastAsia="Times New Roman" w:hAnsi="Times New Roman"/>
                <w:sz w:val="18"/>
                <w:szCs w:val="18"/>
                <w:color w:val="auto"/>
              </w:rPr>
              <w:t>Vesting of RSUs, net of tax</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withholdings and other</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5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Purchase of SciPlay’s Class A</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7720" w:type="dxa"/>
            <w:vAlign w:val="bottom"/>
            <w:gridSpan w:val="17"/>
          </w:tcPr>
          <w:p>
            <w:pPr>
              <w:ind w:left="620"/>
              <w:spacing w:after="0"/>
              <w:rPr>
                <w:sz w:val="20"/>
                <w:szCs w:val="20"/>
                <w:color w:val="auto"/>
              </w:rPr>
            </w:pPr>
            <w:r>
              <w:rPr>
                <w:rFonts w:ascii="Times New Roman" w:cs="Times New Roman" w:eastAsia="Times New Roman" w:hAnsi="Times New Roman"/>
                <w:sz w:val="18"/>
                <w:szCs w:val="18"/>
                <w:color w:val="auto"/>
              </w:rPr>
              <w:t>The following reflects total stock-based compensation expense recognized under all programs: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L&amp;W RSUs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to SciPlay RSUs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540" w:type="dxa"/>
            <w:vAlign w:val="bottom"/>
            <w:tcBorders>
              <w:top w:val="single" w:sz="8" w:color="CCEEFF"/>
            </w:tcBorders>
            <w:shd w:val="clear" w:color="auto" w:fill="CCEEFF"/>
          </w:tcPr>
          <w:p>
            <w:pPr>
              <w:ind w:left="16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ind w:left="60" w:right="360"/>
        <w:spacing w:after="0" w:line="234" w:lineRule="auto"/>
        <w:tabs>
          <w:tab w:leader="none" w:pos="26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 million and $19 million of stock-based compensation classified as liability awards for the three and six months ended June 30, 2024, respectively, and $15 million and $26 million for the three and six months ended June 30, 2023, respectively.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 summary of the changes in RSUs outstanding under our equity-based compensation plans during the six months ended June 30, 2024 is presented below:</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Number of Restricted Stock Units</w:t>
            </w:r>
          </w:p>
        </w:tc>
        <w:tc>
          <w:tcPr>
            <w:tcW w:w="120" w:type="dxa"/>
            <w:vAlign w:val="bottom"/>
          </w:tcPr>
          <w:p>
            <w:pPr>
              <w:spacing w:after="0"/>
              <w:rPr>
                <w:sz w:val="16"/>
                <w:szCs w:val="16"/>
                <w:color w:val="auto"/>
              </w:rPr>
            </w:pPr>
          </w:p>
        </w:tc>
        <w:tc>
          <w:tcPr>
            <w:tcW w:w="26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2023</w:t>
            </w:r>
          </w:p>
        </w:tc>
        <w:tc>
          <w:tcPr>
            <w:tcW w:w="2740" w:type="dxa"/>
            <w:vAlign w:val="bottom"/>
            <w:tcBorders>
              <w:top w:val="single" w:sz="8" w:color="auto"/>
            </w:tcBorders>
            <w:shd w:val="clear" w:color="auto" w:fill="CCEEFF"/>
          </w:tcPr>
          <w:p>
            <w:pPr>
              <w:jc w:val="center"/>
              <w:ind w:left="225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740" w:type="dxa"/>
            <w:vAlign w:val="bottom"/>
          </w:tcPr>
          <w:p>
            <w:pPr>
              <w:jc w:val="center"/>
              <w:ind w:left="225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740" w:type="dxa"/>
            <w:vAlign w:val="bottom"/>
            <w:shd w:val="clear" w:color="auto" w:fill="CCEEFF"/>
          </w:tcPr>
          <w:p>
            <w:pPr>
              <w:jc w:val="center"/>
              <w:ind w:left="2232"/>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2740" w:type="dxa"/>
            <w:vAlign w:val="bottom"/>
            <w:tcBorders>
              <w:bottom w:val="single" w:sz="8" w:color="auto"/>
            </w:tcBorders>
          </w:tcPr>
          <w:p>
            <w:pPr>
              <w:jc w:val="center"/>
              <w:ind w:left="2232"/>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June 30, 2024</w:t>
            </w:r>
          </w:p>
        </w:tc>
        <w:tc>
          <w:tcPr>
            <w:tcW w:w="2740" w:type="dxa"/>
            <w:vAlign w:val="bottom"/>
            <w:tcBorders>
              <w:bottom w:val="single" w:sz="8" w:color="auto"/>
            </w:tcBorders>
            <w:shd w:val="clear" w:color="auto" w:fill="CCEEFF"/>
          </w:tcPr>
          <w:p>
            <w:pPr>
              <w:jc w:val="center"/>
              <w:ind w:left="225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RSUs granted during the six months ended June 30, 2024 and 2023 was $99.57 and $57.15, respectively. The fair value of each RSU grant is based on the market value of our common stock at the time of grant. As of June 30, 2024, we had $125 million of unrecognized stock-based compensation expense relating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21" w:name="page22"/>
    <w:bookmarkEnd w:id="21"/>
    <w:p>
      <w:pPr>
        <w:ind w:right="120"/>
        <w:spacing w:after="0" w:line="282" w:lineRule="auto"/>
        <w:rPr>
          <w:sz w:val="20"/>
          <w:szCs w:val="20"/>
          <w:color w:val="auto"/>
        </w:rPr>
      </w:pPr>
      <w:r>
        <w:rPr>
          <w:rFonts w:ascii="Times New Roman" w:cs="Times New Roman" w:eastAsia="Times New Roman" w:hAnsi="Times New Roman"/>
          <w:sz w:val="18"/>
          <w:szCs w:val="18"/>
          <w:color w:val="auto"/>
        </w:rPr>
        <w:t>unvested RSUs amortized over a weighted-average period of approximately 1.3 years. The fair value at vesting date of RSUs vested during the six months ended June 30, 2024 and 2023 was $130 million and $51 million,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4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March 1, 2022, our Board of Directors approved a share repurchase program under which the Company is authorized to repurchase, from time to time through February 25, 2025, up to an aggregate amount of $750 million of shares of our outstanding common stock. During the six months ended June 30, 2024, we repurchased approximately 1.8 million shares of common stock under these programs at an aggregate cost of $176 million (including excise tax), fully exhausting the authorized share repurchase amount under the program. On June 11, 2024, our Board of Directors approved a new share repurchase program under which the Company is authorized to repurchase, from time to time through June 12, 2027, up to an aggregate amount of</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$1.0 billion of shares of our outstanding common stock. Repurchases under the new share repurchase program may be effected at the discretion of the Transaction Committee of the Board of Directors through one or more open market repurchases, privately negotiated transactions, including block trades, accelerated share repurchases, issuer tender offers or other derivative contracts or instruments, “10b5-1” plan, or other financial or other arrangements, or a combination of the foregoing. The share repurchase program may be suspended or discontinued at any time. We had no repurchases under the new plan during the quarter ended June 30,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as of June 30, 2024.</w:t>
      </w:r>
    </w:p>
    <w:p>
      <w:pPr>
        <w:spacing w:after="0" w:line="9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income tax expense (including discrete items) was $26 million and $44 million for the three and six months ended June 30, 2024, respectively, and $15 million and $14 million for the three and six months ended June 30, 2023, respectively. For the </w:t>
      </w:r>
      <w:r>
        <w:rPr>
          <w:rFonts w:ascii="Times New Roman" w:cs="Times New Roman" w:eastAsia="Times New Roman" w:hAnsi="Times New Roman"/>
          <w:sz w:val="16"/>
          <w:szCs w:val="16"/>
          <w:color w:val="auto"/>
        </w:rPr>
        <w:t>three</w:t>
      </w:r>
      <w:r>
        <w:rPr>
          <w:rFonts w:ascii="Times New Roman" w:cs="Times New Roman" w:eastAsia="Times New Roman" w:hAnsi="Times New Roman"/>
          <w:sz w:val="18"/>
          <w:szCs w:val="18"/>
          <w:color w:val="auto"/>
        </w:rPr>
        <w:t xml:space="preserve"> months ended June 30, 2024, our effective tax rate differs from the U.S. statutory rate of 21% primarily as a result of tax benefits related to equity compensation. In all periods, we recorded tax expense relative to pre-tax earnings in jurisdictions without valuation allowances.</w:t>
      </w:r>
    </w:p>
    <w:p>
      <w:pPr>
        <w:spacing w:after="0" w:line="11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was notified by the Internal Revenue Service that the Company’s U.S. federal income tax returns for tax years 2021 and 2022 will be subject to examination.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total operating lease expense for the three and six months ended June 30, 2024 was $6 million and $12 million, respectively, and $5 million and $11 million for the three and six months ended June 30, 2023, respectively. The total amount of variable and short-term lease payments was immaterial for all periods presented.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and cash flow information related to operating leases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20"/>
                <w:szCs w:val="20"/>
                <w:color w:val="auto"/>
              </w:rPr>
            </w:pPr>
          </w:p>
        </w:tc>
      </w:tr>
      <w:tr>
        <w:trPr>
          <w:trHeight w:val="465"/>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 w:type="dxa"/>
            <w:vAlign w:val="bottom"/>
            <w:tcBorders>
              <w:bottom w:val="single" w:sz="8" w:color="auto"/>
            </w:tcBorders>
          </w:tcPr>
          <w:p>
            <w:pPr>
              <w:spacing w:after="0"/>
              <w:rPr>
                <w:sz w:val="24"/>
                <w:szCs w:val="24"/>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r>
      <w:tr>
        <w:trPr>
          <w:trHeight w:val="211"/>
        </w:trPr>
        <w:tc>
          <w:tcPr>
            <w:tcW w:w="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560" w:type="dxa"/>
            <w:vAlign w:val="bottom"/>
            <w:gridSpan w:val="2"/>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560" w:type="dxa"/>
            <w:vAlign w:val="bottom"/>
            <w:gridSpan w:val="2"/>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Lease liability maturities: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Remainder of</w:t>
            </w:r>
          </w:p>
        </w:tc>
        <w:tc>
          <w:tcPr>
            <w:tcW w:w="240" w:type="dxa"/>
            <w:vAlign w:val="bottom"/>
          </w:tcPr>
          <w:p>
            <w:pPr>
              <w:spacing w:after="0"/>
              <w:rPr>
                <w:sz w:val="16"/>
                <w:szCs w:val="16"/>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6"/>
                <w:szCs w:val="16"/>
                <w:color w:val="auto"/>
              </w:rPr>
            </w:pPr>
          </w:p>
        </w:tc>
        <w:tc>
          <w:tcPr>
            <w:tcW w:w="80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Less Imputed</w:t>
            </w:r>
          </w:p>
        </w:tc>
        <w:tc>
          <w:tcPr>
            <w:tcW w:w="260" w:type="dxa"/>
            <w:vAlign w:val="bottom"/>
          </w:tcPr>
          <w:p>
            <w:pPr>
              <w:spacing w:after="0"/>
              <w:rPr>
                <w:sz w:val="16"/>
                <w:szCs w:val="16"/>
                <w:color w:val="auto"/>
              </w:rPr>
            </w:pPr>
          </w:p>
        </w:tc>
        <w:tc>
          <w:tcPr>
            <w:tcW w:w="900" w:type="dxa"/>
            <w:vAlign w:val="bottom"/>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we did not have material additional operating leases that have not yet commenced.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Litigation</w:t>
      </w:r>
    </w:p>
    <w:p>
      <w:pPr>
        <w:spacing w:after="0" w:line="14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are involved in various legal proceedings, including those discussed below. 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$43 million and $12 million for all of our legal matters that were contingencies as of June 30, 2024 and December 31, 2023, respectively.</w:t>
      </w:r>
    </w:p>
    <w:p>
      <w:pPr>
        <w:spacing w:after="0" w:line="1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w:t>
      </w:r>
    </w:p>
    <w:p>
      <w:pPr>
        <w:spacing w:after="0" w:line="5"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may not have progressed sufficiently through discovery or there may be significant factual or legal issues to be resolved or developed; and/or</w:t>
      </w:r>
    </w:p>
    <w:p>
      <w:pPr>
        <w:spacing w:after="0" w:line="9" w:lineRule="exact"/>
        <w:rPr>
          <w:rFonts w:ascii="Times New Roman" w:cs="Times New Roman" w:eastAsia="Times New Roman" w:hAnsi="Times New Roman"/>
          <w:sz w:val="18"/>
          <w:szCs w:val="18"/>
          <w:color w:val="auto"/>
        </w:rPr>
      </w:pPr>
    </w:p>
    <w:p>
      <w:pPr>
        <w:ind w:right="60" w:firstLine="8"/>
        <w:spacing w:after="0" w:line="216" w:lineRule="exact"/>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$13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Colombia Litigation</w:t>
      </w:r>
    </w:p>
    <w:p>
      <w:pPr>
        <w:spacing w:after="0" w:line="14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spacing w:after="0" w:line="1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spacing w:after="0" w:line="9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Colombian Constitutional Court received the record of the constitutional appeal for further consideration, and on September 26, 2023, that court selected LNWI’s constitutional appeal for further consideration. On April 25, 2024, LNWI was notified that, by means of a decision dated April 5, 2024, a three-judge panel of the Colombian Constitutional Court denied LNWI’s constitutional appeal. On April 30, 2024, LNWI filed a motion to have that panel ruling declared null and void by the full Chamber of the Colombian Constitutional Court.</w:t>
      </w:r>
    </w:p>
    <w:p>
      <w:pPr>
        <w:spacing w:after="0" w:line="12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TCS John Huxley Matter</w:t>
      </w:r>
    </w:p>
    <w:p>
      <w:pPr>
        <w:spacing w:after="0" w:line="14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March 15, 2019, TCS John Huxley America, Inc., TCS John Huxley Europe Ltd., TCS John Huxley Asia Ltd., and Taiwan Fulgent Enterprise Co., Ltd. brought a civil action in the United States District Court for the Northern District of Illinois against L&amp;W, Bally Technologies, Inc. and LNW Gaming, Inc., f/k/a Bally Gaming, Inc. In the complaint, the plaintiffs assert federal antitrust claims arising from the defendants’ procurement of particular U.S. and South African patents. The plaintiffs allege that the defendants used those patents to create an allegedly illegal monopoly in the market for automatic card shufflers sold to regulated casinos in the United States. On April 10, 2019, the defendants filed a motion to dismiss the plaintiffs’ complaint with prejudice. On April 25, 2019, the district court denied the defendants’ motion to dismiss without prejudice pursuant to the court’s local rules, after the plaintiffs advised that they intended to file an amended complaint. The plaintiffs filed their amended complaint on May 3, 2019, and on May 22, 2019, the defendants filed a motion to dismiss the plaintiffs’ amended complaint with prejudice. On March 20, 2020, the district court denied the defendants’ motion to dismiss the plaintiffs’ amended complaint, and defendants filed an answer to the plaintiffs’ amended complaint on June 19, 2020. On June 3, 2020, the trial court granted the defendants’ request to bifurcate proceedings in the case, with discovery to occur first into the statute of limitations and release defenses asserted by the defendants in their motion to dismiss, before proceeding into broader discovery. The trial court set a September 18, 2020, deadline for the parties to complete discovery relating to the statute of limitations and release defenses. On October 28, 2020, the court issued an order extending until January 15, 2021 the deadline for the parties to complete discovery relating to the statute of limitations defense. On February 9, 2021, the defendants filed a motion for summary judgment on their statute of limitations defense, addressing whether plaintiffs had actual knowledge of their claims prior to the start of the limitations period. The district court denied that motion for summary judgment on September 20, 2021. On January 13, 2023, the district court entered an order requiring, among other things, that the plaintiffs make a formal written settlement demand by January 20, 2023, that the defendants respond to that demand in writing by January 27, 2023, and that the parties file a status report by January 31, 2023 confirming that they have complied with the district court’s order. On January 31, 2023, the parties filed a joint status report confirming that they have complied with the district court’s order to make and respond to a formal written demand. Discovery closed on June 1, 2023. On June 30, 2023, the defendants filed a motion for summary judgment. On March 28, 2024, the court issued an order granting in part and denying in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right="20"/>
        <w:spacing w:after="0" w:line="261" w:lineRule="auto"/>
        <w:rPr>
          <w:sz w:val="20"/>
          <w:szCs w:val="20"/>
          <w:color w:val="auto"/>
        </w:rPr>
      </w:pPr>
      <w:r>
        <w:rPr>
          <w:rFonts w:ascii="Times New Roman" w:cs="Times New Roman" w:eastAsia="Times New Roman" w:hAnsi="Times New Roman"/>
          <w:sz w:val="18"/>
          <w:szCs w:val="18"/>
          <w:color w:val="auto"/>
        </w:rPr>
        <w:t>part defendants’ motion for summary judgment. On April 30, 2024, the court issued an order setting the matter for a jury trial starting on May 5, 2025. Due to the complexity of the plaintiffs’ claims, and the unpredictability of the outcome of the proceedings in the district court, or any appeal therefrom, we are unable at this time to estimate a range of reasonably possible losses, or any amount within such a range, above the amount we have recorded for this matter, which is the minimum amount of reasonably possible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Tonkawa Tribe Matter</w:t>
      </w:r>
    </w:p>
    <w:p>
      <w:pPr>
        <w:spacing w:after="0" w:line="14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On September 3, 2020, the Tonkawa Tribe of Indians of Oklahoma d/b/a Tonkawa Enterprises filed a putative class action complaint in the United States District Court for the District of Nevada against L&amp;W, Bally Technologies, Inc. and LNW Gaming, Inc., f/k/a Bally Gaming, Inc. On October 5, 2020, the plaintiff filed a first amended complaint to add Cow Creek Band of Umpqua Tribe of Indians and the Umpqua Indian Development Corp., d/b/a Seven Feathers Casino as a plaintiff. On October 26, 2020, the plaintiffs filed a second amended complaint. In the complaint, the plaintiffs assert federal antitrust claims arising from the defendants’ procurement of particular U.S. patents. The plaintiffs allege that the defendants used those patents to create an allegedly illegal monopoly in the market for card shufflers sold or leased to regulated casinos in the United States. The plaintiffs seek to represent a putative class of all regulated United States casinos directly leasing or purchasing card shufflers from the defendants on or after April 1, 2009. The complaint seeks unspecified money damages, the award of plaintiff’s costs of suit, including reasonable attorneys’ fees and expert fees, and the award of pre-judgment and post-judgment interest. On November 19, 2020, the defendants filed a motion to dismiss plaintiffs’ second amended complaint or, in the alternative, to compel arbitration of plaintiffs’ claims. On November 20, 2020, Plaintiffs filed a motion for partial summary judgment, seeking a finding that defendants are collaterally estopped from re-litigating issues litigated in the 2018 litigation versus Shuffle Tech International Corp., Aces Up Gaming, and Poydras-Talrick Holdings. On August 27, 2021, the Nevada district court entered an order transferring the lawsuit to the United States District Court for the Northern District of Illinois. On May 19, 2022, the Illinois district court granted defendants’ motion to compel arbitration of plaintiffs’ individual claims; stayed all proceedings in the lawsuit pending resolution of the arbitral process; and accordingly dismissed all pending motions without prejudice as moot. We are currently unable to determine the likelihood of an outcome or estimate a range of reasonably possible losses, if any. We believe that the claims in the lawsuit are without merit, and intend to vigorously defend against them.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Giuliano and Rancho’s Club Casino Matter</w:t>
      </w:r>
    </w:p>
    <w:p>
      <w:pPr>
        <w:spacing w:after="0" w:line="16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September 4, 2020, Alfred T. Giuliano, as liquidation trustee for RIH Acquisition NJ, LLC d/b/a The Atlantic Club Casino Hotel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September 8, 2020, Rancho’s Club Casino, Inc., d/b/a Magnolia House Casino filed a putative class action complaint in the United States District Court for the Northern District of Illinois against L&amp;W, Bally Technologies, Inc. and LNW Gaming, Inc., f/k/a Bally Gaming, Inc. In the complaint, the plaintiff asserts federal antitrust claims arising from the defendants’ procurement of particular U.S. patents. The plaintiff alleges that the defendants used those patents to create an allegedly illegal monopoly in the market for automatic card shufflers sold or leased in the United States. The plaintiff seeks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w:t>
      </w:r>
    </w:p>
    <w:p>
      <w:pPr>
        <w:spacing w:after="0" w:line="11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October 29, 2020, the trial court consolidated the Giuliano and Rancho’s Club Casino matters. On October 30, 2020, the plaintiffs in the consolidated action filed a first amended consolidated complaint. On November 9, 2020, the defendants filed a motion to dismiss the plaintiffs’ first amended consolidated complaint, and also filed a motion to compel arbitration of plaintiff Alfred T. Giuliano’s individual claims. On May 19, 2022, the Illinois district court granted defendants’ motion to compel arbitration; stayed all proceedings in the lawsuit pending resolution of the arbitral process; and accordingly dismissed all pending motions without prejudice. On May 31, 2022, defendants filed a motion to lift the stay of the lawsuit for the limited purpose of amending the court’s May 19, 2022 order to confirm that plaintiff Alfred T. Giuliano must proceed to arbitration on an individual basis rather than a class-wide basis. On June 10, 2022, plaintiff Alfred T. Giuliano filed a notice of voluntary dismissal without prejudice, and the court therefore denied as moot defendants’ motion to lift the stay in an order entered on March 28, 2023. We are currently unable to determine the likelihood of an outcome or estimate a range of</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ind w:right="220"/>
        <w:spacing w:after="0" w:line="414" w:lineRule="auto"/>
        <w:rPr>
          <w:sz w:val="20"/>
          <w:szCs w:val="20"/>
          <w:color w:val="auto"/>
        </w:rPr>
      </w:pPr>
      <w:r>
        <w:rPr>
          <w:rFonts w:ascii="Times New Roman" w:cs="Times New Roman" w:eastAsia="Times New Roman" w:hAnsi="Times New Roman"/>
          <w:sz w:val="18"/>
          <w:szCs w:val="18"/>
          <w:color w:val="auto"/>
        </w:rPr>
        <w:t xml:space="preserve">reasonably possible losses, if any. We believe that the claims in the consolidated lawsuit are without merit, and intend to vigorously defend against them. </w:t>
      </w:r>
      <w:r>
        <w:rPr>
          <w:rFonts w:ascii="Times New Roman" w:cs="Times New Roman" w:eastAsia="Times New Roman" w:hAnsi="Times New Roman"/>
          <w:sz w:val="18"/>
          <w:szCs w:val="18"/>
          <w:i w:val="1"/>
          <w:iCs w:val="1"/>
          <w:color w:val="auto"/>
        </w:rPr>
        <w:t>In re Automatic Card Shufflers Litigation Matter</w:t>
      </w:r>
    </w:p>
    <w:p>
      <w:pPr>
        <w:spacing w:after="0" w:line="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Discovery closed on December 1, 2023. On February 16, 2024, the defendants filed a motion for summary judgment, which is pending. Also on February 16, 2024, plaintiffs filed a motion for partial summary judgment and a motion for class certification, which are pending. We are currently unable to determine the likelihood of an outcome or estimate a range of reasonably possible losses, if any. We believe that the claims in the lawsuit are without merit, and intend to vigorously defend against them.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Mohawk Gaming Enterprises Matter</w:t>
      </w:r>
    </w:p>
    <w:p>
      <w:pPr>
        <w:spacing w:after="0" w:line="16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Discovery closed on December 1, 2023. On February 16, 2024, the respondents filed a motion for summary judgment, which is pending. Also on February 16, 2024, claimant filed a motion for partial summary judgment and a motion for class certification, which are pending. We are currently unable to determine the likelihood of an outcome or estimate a range of reasonably possible losses, if any. We believe that the claims in the arbitration demand are without merit, and intend to vigorously defend against them.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Boorn Matter</w:t>
      </w:r>
    </w:p>
    <w:p>
      <w:pPr>
        <w:spacing w:after="0" w:line="160"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On September 15, 2022, plaintiff Hannelore Boorn filed a putative class action against L&amp;W, SciPlay Corporation, and Appchi Media Ltd. in the Fayette Circuit Court of the Commonwealth of Kentucky. In her complaint, plaintiff sought to represent a putative class of all persons in Kentucky who, within the past five years, purchased and allegedly lost $5.00 or more worth of virtual coins, in a 24-hour period, playing SciPlay’s online social casino games. The complaint asserted claims for alleged violations of Kentucky’s “recovery of gambling losses” statute and for unjust enrichment, and sought unspecified money damages, the award of reasonable attorneys’ fees and costs, pre- and post-judgment interest, and injunctive and/or other declaratory relief. On October 18, 2022, defendants removed the action to the United States District Court for the Eastern District of Kentucky. On October 26, 2022, plaintiff filed a notice voluntarily dismissing the lawsuit without prejudice. On October 27, 2022, the district court entered an order dismissing the lawsuit. On November 17, 2022, claimant Hannelore Boorn filed an arbitration demand against respondents L&amp;W, SciPlay Corporation, and Appchi Media Ltd. before the American Arbitration Association, pursuant to which she seeks declaratory judgments that (1) SciPlay’s online social casino games constitute gambling under Kentucky law, and (2) SciPlay’s terms of service are void under Kentucky law. On January 12, 2023, respondents filed their answering statement to plaintiff’s arbitration demand. On February 2, 2024, claimant filed a dispositive motion seeking a ruling that SciPlay’s terms of service are void under Kentucky law and that claimant’s claims are not arbitrable. On February 2, 2024, respondents filed a motion for summary disposition seeking dismissal of claimant’s claims. On May 30, 2024, the Arbitrators granted respondents’ dispositive motion, denied claimant’s dispositive motion, and dismissed claimant’s claims with prejudice. We are currently unable to determine the likelihood of an outcome or estimate a range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right="340"/>
        <w:spacing w:after="0" w:line="414" w:lineRule="auto"/>
        <w:rPr>
          <w:sz w:val="20"/>
          <w:szCs w:val="20"/>
          <w:color w:val="auto"/>
        </w:rPr>
      </w:pPr>
      <w:r>
        <w:rPr>
          <w:rFonts w:ascii="Times New Roman" w:cs="Times New Roman" w:eastAsia="Times New Roman" w:hAnsi="Times New Roman"/>
          <w:sz w:val="18"/>
          <w:szCs w:val="18"/>
          <w:color w:val="auto"/>
        </w:rPr>
        <w:t xml:space="preserve">reasonably possible losses, if any. We believe that the claims in the arbitration demand are without merit, and intend to vigorously defend against them. </w:t>
      </w:r>
      <w:r>
        <w:rPr>
          <w:rFonts w:ascii="Times New Roman" w:cs="Times New Roman" w:eastAsia="Times New Roman" w:hAnsi="Times New Roman"/>
          <w:sz w:val="18"/>
          <w:szCs w:val="18"/>
          <w:i w:val="1"/>
          <w:iCs w:val="1"/>
          <w:color w:val="auto"/>
        </w:rPr>
        <w:t>Allah Beautiful Matter</w:t>
      </w:r>
    </w:p>
    <w:p>
      <w:pPr>
        <w:spacing w:after="0" w:line="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December 19, 2022, claimant Prince Imanifest Allah Beautiful filed an arbitration demand against respondent SciPlay Corporation before the American Arbitration Association. The demand asserts claims for alleged violations of New Jersey’s anti-gambling statutes and seeks unspecified money damages, including recovery of monies allegedly lost by New Jersey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An evidentiary hearing is scheduled for October 21-23, 2024. We are currently unable to determine the likelihood of an outcome or estimate a range of reasonably possible losses, if any. We believe that the claims in the arbitration demand are without merit, and intend to vigorously defend against them.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Sprinkle Matter</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December 12, 2022, claimant Matthew Sprinkle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An evidentiary hearing is scheduled for October 21-23, 2024. We are currently unable to determine the likelihood of an outcome or estimate a range of reasonably possible losses, if any. We believe that the claims in the arbitration demand are without merit, and intend to vigorously defend against them.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Sornberger Matter</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March 8, 2023, plaintiff Andrea Sornberger filed a complaint against SciPlay Corporation and SciPlay Games, LLC in the Circuit Court of the Franklin County, Alabama. The complaint asserts claims for alleged violations of Alabama anti-gambling statutes and seeks unspecified money damages, including recovery of monies allegedly lost by Alabama players of SciPlay’s online social casino games other than the plaintiff, the award of interests and costs, and injunctive and other relief. On April 12, 2023, defendants removed the action to the United States District Court for the Northern District of Alabama. On August 24, 2023, plaintiff voluntarily dismissed her complaint without prejudice, and re-filed it in the Circuit Court of Franklin County, Alabama. On September 27, 2023, defendants removed the re-filed action to the United States District Court for the Northern District of Alabama. On October 26, 2023, plaintiff filed a motion to remand the action to the Circuit Court of Franklin County, Alabama, which is pending. We are currently unable to determine the likelihood of an outcome or estimate a range of reasonably possible losses, if any. We believe that the claims in the lawsuit are without merit, and intend to vigorously defend against them.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Roberts Matter</w:t>
      </w:r>
    </w:p>
    <w:p>
      <w:pPr>
        <w:spacing w:after="0" w:line="14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July 25, 2023, claimant Donovan Roberts filed an arbitration demand against respondent SciPlay Corporation before the American Arbitration Association. The demand asserts claims for alleged violations of Kentucky’s anti-gambling statutes and seeks unspecified money damages, including recovery of monies allegedly lost by Kentucky players of SciPlay’s online social casino games other than the claimant. On October 6, 2023, respondent filed its answering statement to claimant’s arbitration demand. On May 30, 2024, respondent filed a motion to dismiss the claimant’s arbitration demand, which is pending. We are currently unable to determine the likelihood of an outcome or estimate a range of reasonably possible losses, if any. We believe that the claims in the arbitration demand are without merit, and intend to vigorously defend against them.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Ebersole Matter</w:t>
      </w:r>
    </w:p>
    <w:p>
      <w:pPr>
        <w:spacing w:after="0" w:line="16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July 25, 2023, claimant Christopher Ebersole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We are currently unable to determine the likelihood of an outcome or estimate a range of reasonably possible losses, if any. We believe that the claims in the arbitration demand are without merit, and intend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Murnaghan Matter</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July 25, 2023, claimant Hope Murnaghan filed an arbitration demand against respondent SciPlay Corporation before the American Arbitration Association. The demand asserts claims for alleged violations of Massachusetts’ anti-gambling statutes and seeks unspecified money damages, including recovery of monies allegedly lost by Massachusetts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We are currently unable to determine the likelihood of an outcome or estimate a range of reasonably possible losses, if any. We believe that the claims in the arbitration demand are without merit, and intend to vigorously defend against them.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Ewing Matter</w:t>
      </w:r>
    </w:p>
    <w:p>
      <w:pPr>
        <w:spacing w:after="0" w:line="16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November 31, 2023, plaintiff Lauren Ewing filed a lawsuit against SciPlay Corporation and SciPlay Games LLC in the Circuit Court for the 14th Judicial District of Tennessee. The complaint asserts claims for alleged violations of Tennessee’s anti-gambling statutes and seeks unspecified money damages, including recover of monies allegedly lost by Tennessee players of SciPlay’s online social casino games. On December 15, 2023, defendants removed the action to the United States District Court for the Eastern District of Tennessee. On January 12, 2024, plaintiff filed a motion to remand the action to the Circuit Court for the 14th Judicial District of Tennessee, which is pending. On January 22, 2024, defendants filed a motion to dismiss plaintiff’s complaint and a motion to compel arbitration of plaintiff’s claims, which are pending. We are currently unable to determine the likelihood of an outcome or estimate a range of reasonably possible losses, if any. We believe that the claims in the lawsuit are without merit, and intend to vigorously defend against them.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Aristocrat Matter</w:t>
      </w:r>
    </w:p>
    <w:p>
      <w:pPr>
        <w:spacing w:after="0" w:line="146"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 xml:space="preserve">On February 26, 2024, Aristocrat Technologies, Inc. and Aristocrat Technologies Australia Pty Limited brought a civil action in the United States District Court for the District of Nevada against L&amp;W, LNW Gaming, Inc. and SciPlay Corporation. Plaintiffs assert claims for alleged trade secret misappropriation, copyright infringement, trade dress infringement and unfair competition, and deceptive trade practices, relating to defendants’ </w:t>
      </w:r>
      <w:r>
        <w:rPr>
          <w:rFonts w:ascii="Times New Roman" w:cs="Times New Roman" w:eastAsia="Times New Roman" w:hAnsi="Times New Roman"/>
          <w:sz w:val="18"/>
          <w:szCs w:val="18"/>
          <w:i w:val="1"/>
          <w:iCs w:val="1"/>
          <w:color w:val="auto"/>
        </w:rPr>
        <w:t>DRAGON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TRAIN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JEWEL OF THE DRAGON® </w:t>
      </w:r>
      <w:r>
        <w:rPr>
          <w:rFonts w:ascii="Times New Roman" w:cs="Times New Roman" w:eastAsia="Times New Roman" w:hAnsi="Times New Roman"/>
          <w:sz w:val="18"/>
          <w:szCs w:val="18"/>
          <w:color w:val="auto"/>
        </w:rPr>
        <w:t>games. Plaintiffs’ complaint seeks preliminary and permanent injunctive relief, unspecified damages,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of reasonable attorneys’ fees and costs, pre-judgment and post-judgment interest, and declaratory relief. Simultaneously with the filing of the complaint on February 26, 2024, the plaintiffs filed a motion to expedite discovery, which the court granted in part and denied in part on March 26, 2024. On April 9, 2024, defendants filed a motion to dismiss plaintiffs’ complaint, which the court granted in part and denied in part on June 24, 2024. On May 22, 2024, the plaintiffs filed a motion for a preliminary injunction, which is pending. On July 15, 2024, the plaintiffs filed a First Amended Complaint. We are currently unable to determine the likelihood of an outcome or estimate a range of reasonably possible losses, if any. We believe that the claims in the lawsuit are without merit, and intend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9"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“Condensed Consolidated Financial Statements” and </w:t>
      </w:r>
      <w:r>
        <w:rPr>
          <w:rFonts w:ascii="Times New Roman" w:cs="Times New Roman" w:eastAsia="Times New Roman" w:hAnsi="Times New Roman"/>
          <w:sz w:val="18"/>
          <w:szCs w:val="18"/>
          <w:i w:val="1"/>
          <w:iCs w:val="1"/>
          <w:color w:val="auto"/>
        </w:rPr>
        <w:t>Part II, Item 1A</w:t>
      </w:r>
      <w:r>
        <w:rPr>
          <w:rFonts w:ascii="Times New Roman" w:cs="Times New Roman" w:eastAsia="Times New Roman" w:hAnsi="Times New Roman"/>
          <w:sz w:val="18"/>
          <w:szCs w:val="18"/>
          <w:color w:val="auto"/>
        </w:rPr>
        <w:t xml:space="preserve"> “Risk Factors” in this Quarterly Report on Form 10-Q and under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“Business,”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and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2023 10-K.</w:t>
      </w:r>
    </w:p>
    <w:p>
      <w:pPr>
        <w:spacing w:after="0" w:line="9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2023 10-K. As used in this MD&amp;A, the terms “we,” “us,” “our” and the “Company” mean L&amp;W together with its consolidated subsidiaries.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and player account management systems, as well as various other iGaming content and services.</w:t>
      </w:r>
    </w:p>
    <w:p>
      <w:pPr>
        <w:spacing w:after="0" w:line="9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more fully described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“Business” in our 2023 10-K, we are executing on our strategy to become a leading cross-platform global games company with a focus on content and digital markets. We report our results of operations in three business segments—Gaming, SciPlay and iGaming—representing our different products and services. See “Business Segments Results” below and Note 3 for additional business segment information.</w:t>
      </w:r>
    </w:p>
    <w:p>
      <w:pPr>
        <w:spacing w:after="0" w:line="11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2024, we repurchased approximately 1.8 million shares of common stock under these programs at an aggregate cost of $176 million (including excise tax), fully exhausting the authorized share repurchase amount under the March 2022 program. On June 11, 2024, our Board of Directors approved a new share repurchase program under which the Company is authorized to repurchase, from time to time through June 12, 2027, up to an aggregate amount of $1.0 billion in shares of our outstanding common stock. Repurchases under the new share repurchase program may be effected at the discretion of the Transaction Committee of the Board of Directors through one or more open market repurchases, privately negotiated transactions, including block trades, accelerated share repurchases, issuer tender offers or other derivative contracts or instruments, “10b5-1” plan, or other financial or other arrangements, or a combination of the foregoing. The share repurchase program may be suspended or discontinued at any time. We had no repurchases under the new plan during the quarter ended June 30, 2024.</w:t>
      </w:r>
    </w:p>
    <w:p>
      <w:pPr>
        <w:spacing w:after="0" w:line="12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 July 17, 2024, we repriced the LNWI Term Loan B, reducing our interest rate by 50 basis points and resulting in a reduction in annualized interest costs of approximately $11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112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Six Months Ended June</w:t>
            </w:r>
          </w:p>
        </w:tc>
        <w:tc>
          <w:tcPr>
            <w:tcW w:w="300" w:type="dxa"/>
            <w:vAlign w:val="bottom"/>
          </w:tcPr>
          <w:p>
            <w:pPr>
              <w:spacing w:after="0"/>
              <w:rPr>
                <w:sz w:val="16"/>
                <w:szCs w:val="16"/>
                <w:color w:val="auto"/>
              </w:rPr>
            </w:pPr>
          </w:p>
        </w:tc>
        <w:tc>
          <w:tcPr>
            <w:tcW w:w="1140" w:type="dxa"/>
            <w:vAlign w:val="bottom"/>
            <w:gridSpan w:val="2"/>
            <w:vMerge w:val="restart"/>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center"/>
              <w:ind w:left="39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420" w:type="dxa"/>
            <w:vAlign w:val="bottom"/>
            <w:gridSpan w:val="2"/>
          </w:tcPr>
          <w:p>
            <w:pPr>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120" w:type="dxa"/>
            <w:vAlign w:val="bottom"/>
          </w:tcPr>
          <w:p>
            <w:pPr>
              <w:spacing w:after="0"/>
              <w:rPr>
                <w:sz w:val="15"/>
                <w:szCs w:val="15"/>
                <w:color w:val="auto"/>
              </w:rPr>
            </w:pPr>
          </w:p>
        </w:tc>
        <w:tc>
          <w:tcPr>
            <w:tcW w:w="720" w:type="dxa"/>
            <w:vAlign w:val="bottom"/>
          </w:tcPr>
          <w:p>
            <w:pPr>
              <w:jc w:val="right"/>
              <w:ind w:right="173"/>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171"/>
              <w:spacing w:after="0" w:line="173"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center"/>
              <w:ind w:left="92"/>
              <w:spacing w:after="0" w:line="173" w:lineRule="exact"/>
              <w:rPr>
                <w:sz w:val="20"/>
                <w:szCs w:val="20"/>
                <w:color w:val="auto"/>
              </w:rPr>
            </w:pPr>
            <w:r>
              <w:rPr>
                <w:rFonts w:ascii="Times New Roman" w:cs="Times New Roman" w:eastAsia="Times New Roman" w:hAnsi="Times New Roman"/>
                <w:sz w:val="16"/>
                <w:szCs w:val="16"/>
                <w:b w:val="1"/>
                <w:bCs w:val="1"/>
                <w:color w:val="auto"/>
                <w:w w:val="99"/>
              </w:rPr>
              <w:t>2024 vs. 2023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1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7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center"/>
              <w:ind w:left="112"/>
              <w:spacing w:after="0" w:line="173" w:lineRule="exact"/>
              <w:rPr>
                <w:sz w:val="20"/>
                <w:szCs w:val="20"/>
                <w:color w:val="auto"/>
              </w:rPr>
            </w:pPr>
            <w:r>
              <w:rPr>
                <w:rFonts w:ascii="Times New Roman" w:cs="Times New Roman" w:eastAsia="Times New Roman" w:hAnsi="Times New Roman"/>
                <w:sz w:val="16"/>
                <w:szCs w:val="16"/>
                <w:b w:val="1"/>
                <w:bCs w:val="1"/>
                <w:color w:val="auto"/>
                <w:w w:val="99"/>
              </w:rPr>
              <w:t>2024 vs. 2023</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440 %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352 %</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nm</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413 %</w:t>
            </w:r>
          </w:p>
        </w:tc>
        <w:tc>
          <w:tcPr>
            <w:tcW w:w="0" w:type="dxa"/>
            <w:vAlign w:val="bottom"/>
          </w:tcPr>
          <w:p>
            <w:pPr>
              <w:spacing w:after="0"/>
              <w:rPr>
                <w:sz w:val="1"/>
                <w:szCs w:val="1"/>
                <w:color w:val="auto"/>
              </w:rPr>
            </w:pPr>
          </w:p>
        </w:tc>
      </w:tr>
      <w:tr>
        <w:trPr>
          <w:trHeight w:val="22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L&amp;W</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8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nm</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88"/>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Revenue by Business Segment</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0" w:lineRule="exact"/>
        <w:rPr>
          <w:sz w:val="20"/>
          <w:szCs w:val="20"/>
          <w:color w:val="auto"/>
        </w:rPr>
      </w:pPr>
    </w:p>
    <w:p>
      <w:pPr>
        <w:ind w:left="178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Three Months Ended June 30, 2024 and 2023</w:t>
      </w:r>
      <w:r>
        <w:rPr>
          <w:sz w:val="20"/>
          <w:szCs w:val="20"/>
          <w:color w:val="auto"/>
        </w:rPr>
        <w:tab/>
      </w:r>
      <w:r>
        <w:rPr>
          <w:rFonts w:ascii="Times New Roman" w:cs="Times New Roman" w:eastAsia="Times New Roman" w:hAnsi="Times New Roman"/>
          <w:sz w:val="17"/>
          <w:szCs w:val="17"/>
          <w:b w:val="1"/>
          <w:bCs w:val="1"/>
          <w:color w:val="auto"/>
        </w:rPr>
        <w:t>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19685</wp:posOffset>
            </wp:positionV>
            <wp:extent cx="5812155" cy="1859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1215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Gaming revenue growth of 14% for both the three- and six-month periods ended June 30, 2024 was primarily driven by global Gaming machine sales growth of 32% and 31% for the three and six months ended June 30, 2024, respectively, coupled with continued strength in Systems and Gaming operations as well as the success of our content performance.</w:t>
      </w:r>
    </w:p>
    <w:p>
      <w:pPr>
        <w:spacing w:after="0" w:line="10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SciPlay revenue increased 8% and 9% for the three and six months ended June 30, 2024, respectively, primarily due to increased average revenue per daily active user and average monthly revenue per paying user. Average revenue per daily active user grew 12% for both the three and six months ended June 30, 2024, while average monthly revenue per paying user increased 15% and 16% for the three and six months ended June 30, 2024, respectively.</w:t>
      </w:r>
    </w:p>
    <w:p>
      <w:pPr>
        <w:spacing w:after="0" w:line="11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increase in iGaming revenue of 6% and 10% for the three and six months ended June 30, 2024, respectively, was driven primarily by continued momentum in the U.S. market as well as the strength of our original content.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6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360" w:type="dxa"/>
            <w:vAlign w:val="bottom"/>
          </w:tcPr>
          <w:p>
            <w:pPr>
              <w:spacing w:after="0"/>
              <w:rPr>
                <w:sz w:val="16"/>
                <w:szCs w:val="16"/>
                <w:color w:val="auto"/>
              </w:rPr>
            </w:pPr>
          </w:p>
        </w:tc>
        <w:tc>
          <w:tcPr>
            <w:tcW w:w="122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60" w:type="dxa"/>
            <w:vAlign w:val="bottom"/>
          </w:tcPr>
          <w:p>
            <w:pPr>
              <w:spacing w:after="0"/>
              <w:rPr>
                <w:sz w:val="16"/>
                <w:szCs w:val="16"/>
                <w:color w:val="auto"/>
              </w:rPr>
            </w:pPr>
          </w:p>
        </w:tc>
        <w:tc>
          <w:tcPr>
            <w:tcW w:w="1240" w:type="dxa"/>
            <w:vAlign w:val="bottom"/>
            <w:gridSpan w:val="2"/>
            <w:vMerge w:val="restart"/>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6"/>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5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5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left="92"/>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3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left="112"/>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2"/>
                <w:szCs w:val="22"/>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products</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R&amp;D</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D&amp;A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Total cost of revenue for the three and six months ended June 30, 2024 increased as a direct result of higher revenue as described above, driven by $17 million and $32 million, respectively, in higher cost of products revenue primarily associated with higher gaming machine sales. For the six months ended June 30, 2024, the increase in cost of services is primarily related to higher cost of services for our iGaming business segment.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4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SG&amp;A increased for the three and six months ended June 30, 2024 as compared to the prior year periods. The increase was driven by higher salaries and benefits, excluding stock-based compensation, of $7 million and $19 million, respectively, and higher marketing expenses primarily associated with the SciPlay segment of $7 million and $15 million, respectively.</w:t>
      </w:r>
    </w:p>
    <w:p>
      <w:pPr>
        <w:sectPr>
          <w:pgSz w:w="11900" w:h="16838" w:orient="portrait"/>
          <w:cols w:equalWidth="0" w:num="1">
            <w:col w:w="11180"/>
          </w:cols>
          <w:pgMar w:left="320" w:top="88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9" w:right="3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R&amp;D increased for both periods, primarily due to higher salaries and benefits in our Gaming and SciPlay segments.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D&amp;A</w:t>
      </w:r>
    </w:p>
    <w:p>
      <w:pPr>
        <w:spacing w:after="0" w:line="16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D&amp;A decreased for both periods primarily due to fully amortized intangible assets related to certain of our legacy trade names associated with our Gaming segment. Additionally, the prior year included an impairment charge of $5 million related to SciPlay restructuring of a certain foreign studio.</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w:t>
      </w:r>
    </w:p>
    <w:p>
      <w:pPr>
        <w:spacing w:after="0" w:line="14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increase in restructuring and other for the three months ended June 30, 2024, as compared to the prior year period, was primarily due to a $32 million charge related to certain legal matters, which was partially offset by lower costs related to strategic review and related transactions. Restructuring and other decreased for the six months ended June 30, 2024, as compared to the prior year period, primarily due to lower costs related to strategic review and related transactions, partially offset by the $32 million charge related to certain legal matters. The three months ended June 30, 2023 included</w:t>
      </w:r>
    </w:p>
    <w:p>
      <w:pPr>
        <w:spacing w:after="0" w:line="3"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$7 million in professional services associated with the ASX listing, and the six months ended June 30, 2023 included contingent acquisition consideration remeasurement charges of $9 million. Refer to Note 4 for more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Factors Affecting Net Income (Loss) Attributable to L&amp;W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212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9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Factors Affecting Net Income (Loss) Attributable to L&amp;W</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30,</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gridSpan w:val="3"/>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2"/>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3"/>
                <w:szCs w:val="13"/>
                <w:color w:val="auto"/>
              </w:rPr>
            </w:pPr>
          </w:p>
        </w:tc>
        <w:tc>
          <w:tcPr>
            <w:tcW w:w="74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4980" w:type="dxa"/>
            <w:vAlign w:val="bottom"/>
          </w:tcPr>
          <w:p>
            <w:pPr>
              <w:ind w:left="2040"/>
              <w:spacing w:after="0" w:line="142"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jc w:val="right"/>
              <w:ind w:right="15"/>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5"/>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4"/>
                <w:szCs w:val="14"/>
                <w:color w:val="auto"/>
              </w:rPr>
            </w:pPr>
          </w:p>
        </w:tc>
        <w:tc>
          <w:tcPr>
            <w:tcW w:w="49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The change in other income was primarily due to the prior period impact of</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foreign currency exchange rates.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Income tax expense</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5"/>
                <w:szCs w:val="15"/>
                <w:color w:val="auto"/>
              </w:rPr>
            </w:pPr>
          </w:p>
        </w:tc>
        <w:tc>
          <w:tcPr>
            <w:tcW w:w="4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The increase in income tax expense was primarily due to the increase in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80" w:type="dxa"/>
            <w:vAlign w:val="bottom"/>
          </w:tcPr>
          <w:p>
            <w:pPr>
              <w:ind w:left="20"/>
              <w:spacing w:after="0" w:line="166" w:lineRule="exact"/>
              <w:rPr>
                <w:sz w:val="20"/>
                <w:szCs w:val="20"/>
                <w:color w:val="auto"/>
              </w:rPr>
            </w:pPr>
            <w:r>
              <w:rPr>
                <w:rFonts w:ascii="Times New Roman" w:cs="Times New Roman" w:eastAsia="Times New Roman" w:hAnsi="Times New Roman"/>
                <w:sz w:val="16"/>
                <w:szCs w:val="16"/>
                <w:color w:val="auto"/>
              </w:rPr>
              <w:t>worldwide income as well as tax benefits of internal restructuring</w:t>
            </w:r>
          </w:p>
        </w:tc>
        <w:tc>
          <w:tcPr>
            <w:tcW w:w="0" w:type="dxa"/>
            <w:vAlign w:val="bottom"/>
          </w:tcPr>
          <w:p>
            <w:pPr>
              <w:spacing w:after="0"/>
              <w:rPr>
                <w:sz w:val="1"/>
                <w:szCs w:val="1"/>
                <w:color w:val="auto"/>
              </w:rPr>
            </w:pPr>
          </w:p>
        </w:tc>
      </w:tr>
    </w:tbl>
    <w:p>
      <w:pPr>
        <w:ind w:left="6280"/>
        <w:spacing w:after="0"/>
        <w:rPr>
          <w:sz w:val="20"/>
          <w:szCs w:val="20"/>
          <w:color w:val="auto"/>
        </w:rPr>
      </w:pPr>
      <w:r>
        <w:rPr>
          <w:rFonts w:ascii="Times New Roman" w:cs="Times New Roman" w:eastAsia="Times New Roman" w:hAnsi="Times New Roman"/>
          <w:sz w:val="16"/>
          <w:szCs w:val="16"/>
          <w:color w:val="auto"/>
        </w:rPr>
        <w:t>transactions in the prior year period.</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For additional information regarding the changes in our effective tax rates and the variance in our income tax expense, see Note 13.</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(F/X)</w:t>
      </w:r>
    </w:p>
    <w:p>
      <w:pPr>
        <w:spacing w:after="0" w:line="16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798"/>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808"/>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right"/>
              <w:ind w:right="828"/>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33"/>
        </w:trPr>
        <w:tc>
          <w:tcPr>
            <w:tcW w:w="2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 Consolidated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0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 Consolidated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b w:val="1"/>
                <w:bCs w:val="1"/>
                <w:color w:val="auto"/>
              </w:rPr>
              <w:t>% Consolidated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1"/>
                <w:szCs w:val="11"/>
                <w:color w:val="auto"/>
              </w:rPr>
            </w:pPr>
          </w:p>
        </w:tc>
        <w:tc>
          <w:tcPr>
            <w:tcW w:w="1200" w:type="dxa"/>
            <w:vAlign w:val="bottom"/>
          </w:tcPr>
          <w:p>
            <w:pPr>
              <w:jc w:val="right"/>
              <w:ind w:right="28"/>
              <w:spacing w:after="0" w:line="133" w:lineRule="exact"/>
              <w:rPr>
                <w:sz w:val="20"/>
                <w:szCs w:val="20"/>
                <w:color w:val="auto"/>
              </w:rPr>
            </w:pPr>
            <w:r>
              <w:rPr>
                <w:rFonts w:ascii="Times New Roman" w:cs="Times New Roman" w:eastAsia="Times New Roman" w:hAnsi="Times New Roman"/>
                <w:sz w:val="14"/>
                <w:szCs w:val="14"/>
                <w:b w:val="1"/>
                <w:bCs w:val="1"/>
                <w:color w:val="auto"/>
              </w:rPr>
              <w:t>% Consolidated</w:t>
            </w:r>
          </w:p>
        </w:tc>
        <w:tc>
          <w:tcPr>
            <w:tcW w:w="0" w:type="dxa"/>
            <w:vAlign w:val="bottom"/>
          </w:tcPr>
          <w:p>
            <w:pPr>
              <w:spacing w:after="0"/>
              <w:rPr>
                <w:sz w:val="1"/>
                <w:szCs w:val="1"/>
                <w:color w:val="auto"/>
              </w:rPr>
            </w:pPr>
          </w:p>
        </w:tc>
      </w:tr>
      <w:tr>
        <w:trPr>
          <w:trHeight w:val="146"/>
        </w:trPr>
        <w:tc>
          <w:tcPr>
            <w:tcW w:w="2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Revenue</w:t>
            </w:r>
          </w:p>
        </w:tc>
        <w:tc>
          <w:tcPr>
            <w:tcW w:w="760" w:type="dxa"/>
            <w:vAlign w:val="bottom"/>
            <w:gridSpan w:val="2"/>
            <w:vMerge w:val="continue"/>
          </w:tcPr>
          <w:p>
            <w:pPr>
              <w:spacing w:after="0"/>
              <w:rPr>
                <w:sz w:val="12"/>
                <w:szCs w:val="12"/>
                <w:color w:val="auto"/>
              </w:rPr>
            </w:pPr>
          </w:p>
        </w:tc>
        <w:tc>
          <w:tcPr>
            <w:tcW w:w="1440" w:type="dxa"/>
            <w:vAlign w:val="bottom"/>
            <w:gridSpan w:val="3"/>
          </w:tcPr>
          <w:p>
            <w:pPr>
              <w:ind w:left="340"/>
              <w:spacing w:after="0" w:line="127" w:lineRule="exact"/>
              <w:rPr>
                <w:sz w:val="20"/>
                <w:szCs w:val="20"/>
                <w:color w:val="auto"/>
              </w:rPr>
            </w:pPr>
            <w:r>
              <w:rPr>
                <w:rFonts w:ascii="Times New Roman" w:cs="Times New Roman" w:eastAsia="Times New Roman" w:hAnsi="Times New Roman"/>
                <w:sz w:val="14"/>
                <w:szCs w:val="14"/>
                <w:b w:val="1"/>
                <w:bCs w:val="1"/>
                <w:color w:val="auto"/>
              </w:rPr>
              <w:t>Revenue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268"/>
              <w:spacing w:after="0" w:line="127"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50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4 %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4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4 %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2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4"/>
        </w:trPr>
        <w:tc>
          <w:tcPr>
            <w:tcW w:w="2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3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BUSINESS SEGMENT RESULTS </w:t>
      </w:r>
      <w:r>
        <w:rPr>
          <w:rFonts w:ascii="Times New Roman" w:cs="Times New Roman" w:eastAsia="Times New Roman" w:hAnsi="Times New Roman"/>
          <w:sz w:val="18"/>
          <w:szCs w:val="18"/>
          <w:b w:val="1"/>
          <w:bCs w:val="1"/>
          <w:i w:val="1"/>
          <w:iCs w:val="1"/>
          <w:color w:val="auto"/>
        </w:rPr>
        <w:t>(for the three and six months ended June 30, 2024 compared to the three and six months ended June 30, 2023)</w:t>
      </w:r>
      <w:r>
        <w:rPr>
          <w:rFonts w:ascii="Times New Roman" w:cs="Times New Roman" w:eastAsia="Times New Roman" w:hAnsi="Times New Roman"/>
          <w:sz w:val="18"/>
          <w:szCs w:val="18"/>
          <w:b w:val="1"/>
          <w:bCs w:val="1"/>
          <w:color w:val="auto"/>
        </w:rPr>
        <w:t xml:space="preserve"> GAMING</w:t>
      </w: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w:t>
      </w:r>
    </w:p>
    <w:p>
      <w:pPr>
        <w:spacing w:after="0" w:line="10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and other services revenues. Our product sales revenue includes the sale of new and used gaming machines, electronic table games, VLTs 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 w:name="page32"/>
    <w:bookmarkEnd w:id="31"/>
    <w:p>
      <w:pPr>
        <w:ind w:right="80"/>
        <w:spacing w:after="0" w:line="282" w:lineRule="auto"/>
        <w:rPr>
          <w:sz w:val="20"/>
          <w:szCs w:val="20"/>
          <w:color w:val="auto"/>
        </w:rPr>
      </w:pPr>
      <w:r>
        <w:rPr>
          <w:rFonts w:ascii="Times New Roman" w:cs="Times New Roman" w:eastAsia="Times New Roman" w:hAnsi="Times New Roman"/>
          <w:sz w:val="18"/>
          <w:szCs w:val="18"/>
          <w:color w:val="auto"/>
        </w:rPr>
        <w:t>VGTs, casino-management technology solutions and systems, table products, proprietary table game licensing, conversion kits (including game, hardware or operating system conversions) and spare parts.</w:t>
      </w:r>
    </w:p>
    <w:p>
      <w:pPr>
        <w:spacing w:after="0" w:line="92"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refer to the Gaming primary business activities summary included within “Business Segment Results” under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of our 2023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The increase in Gaming revenue for the three and six months ended June 30, 2024, as compared to the prior year period, was primarily driven by continued global Gaming machine sales growth of 32% and 31%, respectively, coupled with growth in Systems and Gaming operations, which benefited from a 7% increase in U.S. and Canada installed base and higher average daily revenue per unit. Our growth is driven by the continued strength and success of our content portfolio performance, driving Game sales growth in North American-adjacent and International markets, led by Australia and Asia, as well as persistent success of our </w:t>
      </w:r>
      <w:r>
        <w:rPr>
          <w:rFonts w:ascii="Times New Roman" w:cs="Times New Roman" w:eastAsia="Times New Roman" w:hAnsi="Times New Roman"/>
          <w:sz w:val="18"/>
          <w:szCs w:val="18"/>
          <w:i w:val="1"/>
          <w:iCs w:val="1"/>
          <w:color w:val="auto"/>
        </w:rPr>
        <w:t>COSMIC</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KASCADA®</w:t>
      </w:r>
      <w:r>
        <w:rPr>
          <w:rFonts w:ascii="Times New Roman" w:cs="Times New Roman" w:eastAsia="Times New Roman" w:hAnsi="Times New Roman"/>
          <w:sz w:val="18"/>
          <w:szCs w:val="18"/>
          <w:color w:val="auto"/>
        </w:rPr>
        <w:t xml:space="preserve"> cabinets. Our robust portfolio of hit franchises is expected to drive further growth in the remainder of 2024. While demand remains strong, we are actively monitoring any impact of inflationary pressures and macroeconomic uncertainty that may impact our operations. We are also monitoring for any potential disruptions in our supply chain, such as those due to armed conflicts or hostilities, and we increase our inventory positions when deemed necessary to mitigate any expected or unexpected delays and fulfill customer orders timely.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5786120" cy="2957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8612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2" w:name="page33"/>
    <w:bookmarkEnd w:id="32"/>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220" w:type="dxa"/>
            <w:vAlign w:val="bottom"/>
          </w:tcPr>
          <w:p>
            <w:pPr>
              <w:spacing w:after="0"/>
              <w:rPr>
                <w:sz w:val="16"/>
                <w:szCs w:val="16"/>
                <w:color w:val="auto"/>
              </w:rPr>
            </w:pPr>
          </w:p>
        </w:tc>
        <w:tc>
          <w:tcPr>
            <w:tcW w:w="1300" w:type="dxa"/>
            <w:vAlign w:val="bottom"/>
            <w:gridSpan w:val="2"/>
            <w:vMerge w:val="restart"/>
          </w:tcPr>
          <w:p>
            <w:pPr>
              <w:jc w:val="center"/>
              <w:ind w:left="191"/>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6"/>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40" w:type="dxa"/>
            <w:vAlign w:val="bottom"/>
          </w:tcPr>
          <w:p>
            <w:pPr>
              <w:spacing w:after="0"/>
              <w:rPr>
                <w:sz w:val="16"/>
                <w:szCs w:val="16"/>
                <w:color w:val="auto"/>
              </w:rPr>
            </w:pPr>
          </w:p>
        </w:tc>
        <w:tc>
          <w:tcPr>
            <w:tcW w:w="1300" w:type="dxa"/>
            <w:vAlign w:val="bottom"/>
            <w:gridSpan w:val="2"/>
            <w:vMerge w:val="restart"/>
          </w:tcPr>
          <w:p>
            <w:pPr>
              <w:jc w:val="center"/>
              <w:ind w:left="191"/>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6"/>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9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 except per unit amounts)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9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left="211"/>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9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left="211"/>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Gaming operations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Gaming machine sales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Gaming systems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Table products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F/X impact on revenue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KPIs: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and Canada units: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daily revenue per unit</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 units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daily revenue per unit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machine sales: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and Canada new unit shipments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new unit shipments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new unit shipments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sales price per new unit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bl>
    <w:p>
      <w:pPr>
        <w:jc w:val="both"/>
        <w:ind w:left="40" w:right="160" w:hanging="1"/>
        <w:spacing w:after="0" w:line="244" w:lineRule="auto"/>
        <w:tabs>
          <w:tab w:leader="none" w:pos="24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refined our U.S. and Canada units average daily revenue per unit calculation to include certain Gaming operations revenue streams that were previously excluded and have revised prior periods to align with the new calculation. The change aligns more closely with how management evaluates the operating performance and was immaterial both quantitatively and qualitatively.</w:t>
      </w:r>
    </w:p>
    <w:p>
      <w:pPr>
        <w:ind w:left="240" w:hanging="201"/>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exclude those related to game content licensing.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Operations</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Gaming operations revenue growth was driven by strong game performance of hit franchises, including our premium games. Gaming operations for U.S. and Canada had a 2,016-unit increase in installed base for both the three and six months ended June 30, 2024, along with an increase in average daily revenue per unit of $1.82 and $1.65 for the three and six months ended June 30, 2024, respectively. Average daily revenue per unit for International units increased for the three months ended June 30, 2024, and decreased slightly for the six months ended June 30, 2024. International ending installed base units decreased by 3,332 units primarily due to the expected closure of certain LBOs in the U.K., removals in Greece, and the reduction of certain low-yielding units in Latin America.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Machine Sales</w:t>
      </w:r>
    </w:p>
    <w:p>
      <w:pPr>
        <w:spacing w:after="0" w:line="144"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Gaming machine sales revenue increased primarily due to higher sales of replacement units globally as operator capital spending remained at healthy levels, casino opening and expansion activity increased internationally and average sales price per new unit increased, mostly from a favorable product mix.</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The following table summarizes Gaming machine sales changes: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19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2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Six Months Ended June</w:t>
            </w:r>
          </w:p>
        </w:tc>
        <w:tc>
          <w:tcPr>
            <w:tcW w:w="11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0" w:type="dxa"/>
            <w:vAlign w:val="bottom"/>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100" w:type="dxa"/>
            <w:vAlign w:val="bottom"/>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740" w:type="dxa"/>
            <w:vAlign w:val="bottom"/>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80" w:type="dxa"/>
            <w:vAlign w:val="bottom"/>
          </w:tcPr>
          <w:p>
            <w:pPr>
              <w:spacing w:after="0"/>
              <w:rPr>
                <w:sz w:val="18"/>
                <w:szCs w:val="18"/>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700" w:type="dxa"/>
            <w:vAlign w:val="bottom"/>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and Canada unit shipments:</w:t>
            </w: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Replacement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unit shipments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0"/>
        </w:trPr>
        <w:tc>
          <w:tcPr>
            <w:tcW w:w="36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unit shipments: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Replacement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9"/>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unit shipments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3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3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and AEBITDA</w:t>
      </w:r>
    </w:p>
    <w:p>
      <w:pPr>
        <w:spacing w:after="0" w:line="16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for the three and six months ended June 30, 2024 increased by $11 million and 15 million, respectively, as compared to the corresponding prior year periods, primarily due to $16 million and $29 million, respectively, in higher costs of revenue associated with the increase in revenue as described above and $7 million and $18 million, respectively, in higher SG&amp;A, partially offset by lower D&amp;A of $15 million and $34 million, respectively.</w:t>
      </w:r>
    </w:p>
    <w:p>
      <w:pPr>
        <w:spacing w:after="0" w:line="9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AEBITDA for the three and six months ended June 30, 2024 as compared to the prior year periods increased by $39 million and $66 million, respectively, which is primarily related to increased revenue, and AEBITDA as a percentage of revenue (“AEBITDA margin”) increased to 50% for both the three and six months ended June 30, 2024. These results were primarily driven by revenue growth in the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SCIPLAY</w:t>
      </w:r>
    </w:p>
    <w:p>
      <w:pPr>
        <w:spacing w:after="0" w:line="162"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18"/>
          <w:szCs w:val="18"/>
          <w:color w:val="auto"/>
        </w:rPr>
        <w:t>Our SciPlay business segment is a leading developer and publisher of digital games on mobile and web platforms. SciPlay operates primarily in the social gaming market, which is characterized by gameplay online or on mobile devices that is social, competitive and self-directed in pace and session length. SciPlay also operates in the hyper-casual space, which is characterized by simpler core loops and more repetitive gameplay than casual games.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 Once obtained, coins, chips and cards (either free or purchased) cannot be redeemed for cash nor exchanged for anything other than game play within SciPlay’s apps. SciPlay generates additional revenue through advertising arrangements in SciPlay’s hyper-casual games, which was not material for the periods presented. Players who install SciPlay’s hyper-casual games receive free, unlimited gameplay that requires viewing of periodic in-game advertisements.</w:t>
      </w:r>
    </w:p>
    <w:p>
      <w:pPr>
        <w:spacing w:after="0" w:line="10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SciPlay currently offers a variety of social casino games, including </w:t>
      </w:r>
      <w:r>
        <w:rPr>
          <w:rFonts w:ascii="Times New Roman" w:cs="Times New Roman" w:eastAsia="Times New Roman" w:hAnsi="Times New Roman"/>
          <w:sz w:val="18"/>
          <w:szCs w:val="18"/>
          <w:i w:val="1"/>
          <w:iCs w:val="1"/>
          <w:color w:val="auto"/>
        </w:rPr>
        <w:t>JACKPOT PARTY® Casino, QUICK HIT® Slots, GOLD FISH® Casino, 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FORTUNES® Slots, MONOPOLY Slots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HOT SHOT CASINO®</w:t>
      </w:r>
      <w:r>
        <w:rPr>
          <w:rFonts w:ascii="Times New Roman" w:cs="Times New Roman" w:eastAsia="Times New Roman" w:hAnsi="Times New Roman"/>
          <w:sz w:val="18"/>
          <w:szCs w:val="18"/>
          <w:color w:val="auto"/>
        </w:rPr>
        <w:t>. SciPlay continues to pursue its strategy of expanding into the online and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games market. Current casual game titles include </w:t>
      </w:r>
      <w:r>
        <w:rPr>
          <w:rFonts w:ascii="Times New Roman" w:cs="Times New Roman" w:eastAsia="Times New Roman" w:hAnsi="Times New Roman"/>
          <w:sz w:val="18"/>
          <w:szCs w:val="18"/>
          <w:i w:val="1"/>
          <w:iCs w:val="1"/>
          <w:color w:val="auto"/>
        </w:rPr>
        <w:t>BINGO SHOWDOWN®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BACKGAMMON LIVE</w:t>
      </w:r>
      <w:r>
        <w:rPr>
          <w:rFonts w:ascii="Times New Roman" w:cs="Times New Roman" w:eastAsia="Times New Roman" w:hAnsi="Times New Roman"/>
          <w:sz w:val="18"/>
          <w:szCs w:val="18"/>
          <w:color w:val="auto"/>
        </w:rPr>
        <w:t xml:space="preserve"> as well as other titles in the hyper-casual space, including games such as </w:t>
      </w:r>
      <w:r>
        <w:rPr>
          <w:rFonts w:ascii="Times New Roman" w:cs="Times New Roman" w:eastAsia="Times New Roman" w:hAnsi="Times New Roman"/>
          <w:sz w:val="18"/>
          <w:szCs w:val="18"/>
          <w:i w:val="1"/>
          <w:iCs w:val="1"/>
          <w:color w:val="auto"/>
        </w:rPr>
        <w:t>CANDY CHALLENGE 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BOSS LIFE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DEEP CLEAN INC. 3D</w:t>
      </w:r>
      <w:r>
        <w:rPr>
          <w:rFonts w:ascii="Times New Roman" w:cs="Times New Roman" w:eastAsia="Times New Roman" w:hAnsi="Times New Roman"/>
          <w:sz w:val="18"/>
          <w:szCs w:val="18"/>
          <w:color w:val="auto"/>
        </w:rPr>
        <w:t xml:space="preserve">. SciPlay continually develops and tests various new games. SciPlay’s social casino games typically include slots-style game play and occasionally include table games-style game play, while its casual games blend solitaire-style or bingo game play with adventure game features and its hyper-casual games include many simple core loop mechanics. All of SciPlay’s games are offered and played across multiple platforms, including </w:t>
      </w:r>
      <w:r>
        <w:rPr>
          <w:rFonts w:ascii="Times New Roman" w:cs="Times New Roman" w:eastAsia="Times New Roman" w:hAnsi="Times New Roman"/>
          <w:sz w:val="18"/>
          <w:szCs w:val="18"/>
          <w:i w:val="1"/>
          <w:iCs w:val="1"/>
          <w:color w:val="auto"/>
        </w:rPr>
        <w:t>APPLE, GOOGLE, FACEBOOK, AMAZON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MICROSOFT</w:t>
      </w:r>
      <w:r>
        <w:rPr>
          <w:rFonts w:ascii="Times New Roman" w:cs="Times New Roman" w:eastAsia="Times New Roman" w:hAnsi="Times New Roman"/>
          <w:sz w:val="18"/>
          <w:szCs w:val="18"/>
          <w:color w:val="auto"/>
        </w:rPr>
        <w:t>. SciPlay launched a proprietary direct-to-consumer in-app purchase platform during 2023, with the goals of improving players’ experience and reducing costs of revenue given the lower payment processing fees and other related expenses for in-app purchases made through the proprietary platform, as compared to the platform fee charged by third-party platforms. Revenue generated via the proprietary direct-to-consumer platform continues to increase and represented approximately 9% of total SciPlay revenue for the first half of 2024.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SciPlay continues to deliver strong results and elevated payer engagement. Revenue growth was 8% and 9% for the three and six months ended June 30, 2024, respectively, which was primarily attributable to the revenue generated by </w:t>
      </w:r>
      <w:r>
        <w:rPr>
          <w:rFonts w:ascii="Times New Roman" w:cs="Times New Roman" w:eastAsia="Times New Roman" w:hAnsi="Times New Roman"/>
          <w:sz w:val="18"/>
          <w:szCs w:val="18"/>
          <w:i w:val="1"/>
          <w:iCs w:val="1"/>
          <w:color w:val="auto"/>
        </w:rPr>
        <w:t>Quick Hit Slots, Jackpot Party Casino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88 Fortunes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Fish Casino</w:t>
      </w:r>
      <w:r>
        <w:rPr>
          <w:rFonts w:ascii="Times New Roman" w:cs="Times New Roman" w:eastAsia="Times New Roman" w:hAnsi="Times New Roman"/>
          <w:sz w:val="18"/>
          <w:szCs w:val="18"/>
          <w:color w:val="auto"/>
        </w:rPr>
        <w:t>. We believe that there is an opportunity for continued improvement of operating results in the second half of 2024 and beyond, as SciPlay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continues to deploy strategic game updates, utilize enhanced analytics, pursue international expansion and benefit from the proprietary direct-to-consumer platform.</w:t>
      </w:r>
    </w:p>
    <w:p>
      <w:pPr>
        <w:spacing w:after="0" w:line="10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a significant portion of SciPlay personnel located in Tel Aviv, Israel. In light of current circumstances in Israel, we are actively monitoring developments and are ready to redirect resources as needed to minimize impact on SciPlay operations. We do not have servers or infrastructure that are located in Israel that host our games. While we have not yet seen an impact on our business from current events, they could negatively affect the performance of the personnel in that area and have an adverse impact on our business if these events continue and/or escalate.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5795010" cy="2091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501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60" w:right="980" w:hanging="8"/>
        <w:spacing w:after="0" w:line="261" w:lineRule="auto"/>
        <w:tabs>
          <w:tab w:leader="none" w:pos="126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$24 million and $36 million in revenue generated via our proprietary direct-to-consumer platform for the three and six months ended June 30, 2024, along with advertising and other revenue, which were not 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9" w:right="419" w:bottom="1440" w:gutter="0" w:footer="0" w:header="0"/>
        </w:sectPr>
      </w:pPr>
    </w:p>
    <w:bookmarkStart w:id="35" w:name="page36"/>
    <w:bookmarkEnd w:id="35"/>
    <w:tbl>
      <w:tblPr>
        <w:tblLayout w:type="fixed"/>
        <w:tblInd w:w="4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240" w:type="dxa"/>
            <w:vAlign w:val="bottom"/>
          </w:tcPr>
          <w:p>
            <w:pPr>
              <w:spacing w:after="0"/>
              <w:rPr>
                <w:sz w:val="16"/>
                <w:szCs w:val="16"/>
                <w:color w:val="auto"/>
              </w:rPr>
            </w:pPr>
          </w:p>
        </w:tc>
        <w:tc>
          <w:tcPr>
            <w:tcW w:w="1280" w:type="dxa"/>
            <w:vAlign w:val="bottom"/>
            <w:gridSpan w:val="2"/>
            <w:vMerge w:val="restart"/>
          </w:tcPr>
          <w:p>
            <w:pPr>
              <w:jc w:val="center"/>
              <w:ind w:left="21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20" w:type="dxa"/>
            <w:vAlign w:val="bottom"/>
          </w:tcPr>
          <w:p>
            <w:pPr>
              <w:spacing w:after="0"/>
              <w:rPr>
                <w:sz w:val="16"/>
                <w:szCs w:val="16"/>
                <w:color w:val="auto"/>
              </w:rPr>
            </w:pPr>
          </w:p>
        </w:tc>
        <w:tc>
          <w:tcPr>
            <w:tcW w:w="1340" w:type="dxa"/>
            <w:vAlign w:val="bottom"/>
            <w:gridSpan w:val="2"/>
            <w:vMerge w:val="restart"/>
          </w:tcPr>
          <w:p>
            <w:pPr>
              <w:jc w:val="center"/>
              <w:ind w:left="15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30,</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54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(in millions unless otherwise noted)</w:t>
            </w: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5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7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center"/>
              <w:ind w:left="192"/>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27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5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left="172"/>
              <w:spacing w:after="0" w:line="173"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Mobile in-app purchases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25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Web in-app purchases and</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3"/>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3"/>
        </w:trPr>
        <w:tc>
          <w:tcPr>
            <w:tcW w:w="2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KPIs: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In-App Purchases: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34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Mobile Penetration</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(12)pp</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(9)pp</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5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MAU</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5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DAU</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5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ARPDAU</w:t>
            </w:r>
            <w:r>
              <w:rPr>
                <w:rFonts w:ascii="Times New Roman" w:cs="Times New Roman" w:eastAsia="Times New Roman" w:hAnsi="Times New Roman"/>
                <w:sz w:val="23"/>
                <w:szCs w:val="23"/>
                <w:color w:val="auto"/>
                <w:vertAlign w:val="superscript"/>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0.11</w:t>
            </w: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0.11</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5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MPUs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(in thousands)</w:t>
            </w:r>
          </w:p>
        </w:tc>
        <w:tc>
          <w:tcPr>
            <w:tcW w:w="10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5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AMRPPU</w:t>
            </w:r>
            <w:r>
              <w:rPr>
                <w:rFonts w:ascii="Times New Roman" w:cs="Times New Roman" w:eastAsia="Times New Roman" w:hAnsi="Times New Roman"/>
                <w:sz w:val="23"/>
                <w:szCs w:val="23"/>
                <w:color w:val="auto"/>
                <w:vertAlign w:val="superscript"/>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102.04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14.87</w:t>
            </w: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15.68</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6"/>
        </w:trPr>
        <w:tc>
          <w:tcPr>
            <w:tcW w:w="2540" w:type="dxa"/>
            <w:vAlign w:val="bottom"/>
            <w:gridSpan w:val="3"/>
          </w:tcPr>
          <w:p>
            <w:pPr>
              <w:ind w:left="120"/>
              <w:spacing w:after="0" w:line="236" w:lineRule="exact"/>
              <w:rPr>
                <w:sz w:val="20"/>
                <w:szCs w:val="20"/>
                <w:color w:val="auto"/>
              </w:rPr>
            </w:pPr>
            <w:r>
              <w:rPr>
                <w:rFonts w:ascii="Times New Roman" w:cs="Times New Roman" w:eastAsia="Times New Roman" w:hAnsi="Times New Roman"/>
                <w:sz w:val="18"/>
                <w:szCs w:val="18"/>
                <w:color w:val="auto"/>
              </w:rPr>
              <w:t>Payer Conversion Rate</w:t>
            </w:r>
            <w:r>
              <w:rPr>
                <w:rFonts w:ascii="Times New Roman" w:cs="Times New Roman" w:eastAsia="Times New Roman" w:hAnsi="Times New Roman"/>
                <w:sz w:val="23"/>
                <w:szCs w:val="23"/>
                <w:color w:val="auto"/>
                <w:vertAlign w:val="superscript"/>
              </w:rPr>
              <w:t>(8)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pp</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pp</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ind w:left="40"/>
        <w:spacing w:after="0" w:line="201" w:lineRule="auto"/>
        <w:rPr>
          <w:sz w:val="20"/>
          <w:szCs w:val="20"/>
          <w:color w:val="auto"/>
        </w:rPr>
      </w:pPr>
      <w:r>
        <w:rPr>
          <w:rFonts w:ascii="Times New Roman" w:cs="Times New Roman" w:eastAsia="Times New Roman" w:hAnsi="Times New Roman"/>
          <w:sz w:val="14"/>
          <w:szCs w:val="14"/>
          <w:color w:val="auto"/>
        </w:rPr>
        <w:t>nm = not meaningful.</w:t>
      </w:r>
    </w:p>
    <w:p>
      <w:pPr>
        <w:ind w:left="40"/>
        <w:spacing w:after="0" w:line="221" w:lineRule="auto"/>
        <w:rPr>
          <w:sz w:val="20"/>
          <w:szCs w:val="20"/>
          <w:color w:val="auto"/>
        </w:rPr>
      </w:pPr>
      <w:r>
        <w:rPr>
          <w:rFonts w:ascii="Times New Roman" w:cs="Times New Roman" w:eastAsia="Times New Roman" w:hAnsi="Times New Roman"/>
          <w:sz w:val="14"/>
          <w:szCs w:val="14"/>
          <w:color w:val="auto"/>
        </w:rPr>
        <w:t>pp = percentage points.</w:t>
      </w:r>
    </w:p>
    <w:p>
      <w:pPr>
        <w:ind w:left="40" w:right="60" w:firstLine="6"/>
        <w:spacing w:after="0" w:line="211" w:lineRule="auto"/>
        <w:tabs>
          <w:tab w:leader="none" w:pos="24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$24 million and $36 million in revenue generated via our proprietary direct-to-consumer platform for the three and six months ended June 30, 2024, respectively, along with advertising and other revenue, which were not material for the periods presented.</w:t>
      </w:r>
    </w:p>
    <w:p>
      <w:pPr>
        <w:ind w:left="240" w:hanging="194"/>
        <w:spacing w:after="0" w:line="22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Mobile penetration is defined as the percentage of business to consumer SciPlay revenue generated from mobile platforms.</w:t>
      </w:r>
    </w:p>
    <w:p>
      <w:pPr>
        <w:ind w:left="40" w:right="120" w:firstLine="6"/>
        <w:spacing w:after="0" w:line="211" w:lineRule="auto"/>
        <w:tabs>
          <w:tab w:leader="none" w:pos="24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MAU = Monthly Active Users is a count of visitors to our sites during a month. An individual who plays multiple games or from multiple devices may, in certain circumstances, be counted more than once. However, we use third-party data to limit the occurrence of multiple counting.</w:t>
      </w:r>
    </w:p>
    <w:p>
      <w:pPr>
        <w:ind w:left="40" w:right="160" w:firstLine="6"/>
        <w:spacing w:after="0" w:line="221" w:lineRule="auto"/>
        <w:tabs>
          <w:tab w:leader="none" w:pos="24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DAU = Daily Active Users is a count of visitors to our sites during a day. An individual who plays multiple games or from multiple devices may, in certain circumstances, be counted more than once. However, we use third-party data to limit the occurrence of multiple counting.</w:t>
      </w:r>
    </w:p>
    <w:p>
      <w:pPr>
        <w:ind w:left="240" w:hanging="194"/>
        <w:spacing w:after="0" w:line="20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ARPDAU = Average Revenue Per DAU is calculated by dividing revenue for a period by the DAU for the period by the number of days for the period.</w:t>
      </w:r>
    </w:p>
    <w:p>
      <w:pPr>
        <w:ind w:left="240" w:hanging="194"/>
        <w:spacing w:after="0" w:line="22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MPU = Monthly Paying Users is the number of individual users who made an in-game purchase during a particular month.</w:t>
      </w:r>
    </w:p>
    <w:p>
      <w:pPr>
        <w:ind w:left="240" w:hanging="194"/>
        <w:spacing w:after="0" w:line="22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AMRPPU = Average Monthly Revenue Per Paying User is calculated by dividing average monthly revenue by average MPUs for the applicable time period.</w:t>
      </w:r>
    </w:p>
    <w:p>
      <w:pPr>
        <w:ind w:left="240" w:hanging="194"/>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Payer conversion rate is calculated by dividing average MPU for the period by the average MAU for the same period.</w:t>
      </w:r>
    </w:p>
    <w:p>
      <w:pPr>
        <w:spacing w:after="0" w:line="24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revenue increased as average monthly revenue per paying user increased 15% and 16%, respectively, while social casino payer engagement remained elevated.</w:t>
      </w:r>
    </w:p>
    <w:p>
      <w:pPr>
        <w:spacing w:after="0" w:line="9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Mobile penetration decreased by 12 and 9 percentage points for the three and six months ended June 30, 2024, respectively, primarily reflecting growing revenue generated via our proprietary direct-to-consumer platform, with a majority of players continuing to use mobile platforms to play SciPlay’s games.</w:t>
      </w:r>
    </w:p>
    <w:p>
      <w:pPr>
        <w:spacing w:after="0" w:line="9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Average MAU and average MPU for the three and six months ended June 30, 2024 decreased due to the turnover in users. ARPDAU increased as a function of higher player monetization with a slight decrease in average DAU. AMRPPU increased, with payer conversion remaining relatively constant, as SciPlay continues to improve content and features resulting in increased paying player interaction.</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Payer conversion rates continue to be at high levels due to consistent payer interaction with the games as a result of SciPlay’s focus on introducing new content, features and live events in games.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and AEBITDA</w:t>
      </w:r>
    </w:p>
    <w:p>
      <w:pPr>
        <w:spacing w:after="0" w:line="14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increase in operating expenses for the three and six months ended June 30, 2024, as compared to prior year periods, was primarily driven by higher marketing spend of $6 million and $13 million, respectively, and higher salaries and benefit costs (including stock-based compensation) of</w:t>
      </w:r>
    </w:p>
    <w:p>
      <w:pPr>
        <w:spacing w:after="0"/>
        <w:rPr>
          <w:sz w:val="20"/>
          <w:szCs w:val="20"/>
          <w:color w:val="auto"/>
        </w:rPr>
      </w:pPr>
      <w:r>
        <w:rPr>
          <w:rFonts w:ascii="Times New Roman" w:cs="Times New Roman" w:eastAsia="Times New Roman" w:hAnsi="Times New Roman"/>
          <w:sz w:val="18"/>
          <w:szCs w:val="18"/>
          <w:color w:val="auto"/>
        </w:rPr>
        <w:t>$4 million and $8 million, respectively, related to an increase in headcount, partially offset by lower D&amp;A of $5 million and $4 million, respectively.</w:t>
      </w:r>
    </w:p>
    <w:p>
      <w:pPr>
        <w:spacing w:after="0" w:line="139"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AEBITDA for the three and six months ended June 30, 2024 increased as compared to prior year periods by $11 million and $19 million, respectively, and AEBITDA margin increased by 3 percentage points to 34% and 2 percentage points to 32%, respectively, primarily due to revenue growth, as discussed above, including growth from our proprietary direct-to-consumer platform which generates higher margin, partially offset by the increase in operating costs resulting from increases in marketing spend and salaries and benefits.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iGAMING</w:t>
      </w:r>
    </w:p>
    <w:p>
      <w:pPr>
        <w:spacing w:after="0" w:line="162"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Our iGaming business segment provides a comprehensive suite of digital gaming content, distribution platforms and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a player account management system which offers a wide range of reporting and administrative functions and tools providing operators full control over all areas of digital gaming operations. Generally, we host the play of our game content which is integrated with the online casino operators’ websites.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continue to expand our customer base and capitalize on growth in the European and North American markets by leveraging our industry leading platforms, content and solutions, as well as investing in our ability to scale our own original U.S. land-based content offering. In the second quarter of 2024, we went live in Rhode Island, increasing our U.S. presence to seven states, and we are well positioned to enter additional states as their legislatures authorize online gaming.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5795010" cy="2100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501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increases in iGaming revenue for the three and six months ended June 30, 2024 were 6% and 10%, respectively, as compared to the prior year periods. The prior year periods benefited from $2 million in license termination fees. The momentum in the international and U.S. markets remain strong due to our original content and growth in our partner network. Wagers processed through our Open Gaming System for both current year periods increased to $22 billion and $44 billion, respectively.</w:t>
      </w:r>
    </w:p>
    <w:p>
      <w:pPr>
        <w:spacing w:after="0" w:line="11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decreased slightly for the three months ended June 30, 2024, and increased for the six months ended June 30, 2024, as compared to the prior year periods. The decrease of $4 million for the three months ended June 30, 2024 was due to the fair value adjustment of contingent acquisition considerations of $9 million in the three months ended June 30, 2023, partially offset by $5 million in higher costs of revenue and SG&amp;A for the three months ended June 30, 2024. The increase for the six months ended June 30, 2024 is primarily due to $11 million in higher costs of revenue and SG&amp;A, partially offset by lower restructuring and other costs as compared to the prior year period.</w:t>
      </w:r>
    </w:p>
    <w:p>
      <w:pPr>
        <w:spacing w:after="0" w:line="1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AEBITDA remained relatively flat for the three and six months ended June 30, 2024, as compared to the prior year periods, while AEBITDA margin decreased to 32% for both the three and six months ended June 30, 2024 due to continuing investments in growth initiatives and the momentum in U.S. and international markets. For the three and six months ended June 30, 2023, AEBITDA benefited from $2 million in license termination fees.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that any recently issued accounting guidance will have a significant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0"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policies regarding our critical accounting estimates, see “Critical Accounting Estimates”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2023 10-K.</w:t>
      </w:r>
    </w:p>
    <w:p>
      <w:pPr>
        <w:spacing w:after="0" w:line="79" w:lineRule="exact"/>
        <w:rPr>
          <w:sz w:val="20"/>
          <w:szCs w:val="20"/>
          <w:color w:val="auto"/>
        </w:rPr>
      </w:pPr>
    </w:p>
    <w:p>
      <w:pPr>
        <w:jc w:val="both"/>
        <w:ind w:right="8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significant changes in our critical accounting estimate policies or the application of those policies to our condensed consolidated financial statements from those presented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2023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WORKING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Available Liquidity</w:t>
      </w:r>
    </w:p>
    <w:p>
      <w:pPr>
        <w:spacing w:after="0" w:line="16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our principal sources of liquidity, other than cash flows provided by operating activities, were cash and cash equivalents as well as amounts available under the LNWI Revolver.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Available Revolver Capacity</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80" w:type="dxa"/>
            <w:vAlign w:val="bottom"/>
            <w:tcBorders>
              <w:bottom w:val="single" w:sz="8" w:color="auto"/>
            </w:tcBorders>
          </w:tcPr>
          <w:p>
            <w:pPr>
              <w:spacing w:after="0"/>
              <w:rPr>
                <w:sz w:val="18"/>
                <w:szCs w:val="18"/>
                <w:color w:val="auto"/>
              </w:rPr>
            </w:pPr>
          </w:p>
        </w:tc>
      </w:tr>
      <w:tr>
        <w:trPr>
          <w:trHeight w:val="175"/>
        </w:trPr>
        <w:tc>
          <w:tcPr>
            <w:tcW w:w="70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5"/>
                <w:szCs w:val="15"/>
                <w:color w:val="auto"/>
              </w:rPr>
            </w:pPr>
          </w:p>
        </w:tc>
        <w:tc>
          <w:tcPr>
            <w:tcW w:w="1820" w:type="dxa"/>
            <w:vAlign w:val="bottom"/>
            <w:gridSpan w:val="2"/>
          </w:tcPr>
          <w:p>
            <w:pPr>
              <w:ind w:left="220"/>
              <w:spacing w:after="0" w:line="175" w:lineRule="exact"/>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5"/>
                <w:szCs w:val="15"/>
                <w:color w:val="auto"/>
              </w:rPr>
            </w:pPr>
          </w:p>
        </w:tc>
        <w:tc>
          <w:tcPr>
            <w:tcW w:w="1780" w:type="dxa"/>
            <w:vAlign w:val="bottom"/>
          </w:tcPr>
          <w:p>
            <w:pPr>
              <w:jc w:val="right"/>
              <w:ind w:right="272"/>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
        </w:trPr>
        <w:tc>
          <w:tcPr>
            <w:tcW w:w="84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Revolver capacity</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Revolver capacity drawn or committed letters of credit</w:t>
            </w: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0"/>
        </w:trPr>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Total cash held by our foreign subsidiaries was $131 million and $166 million as of June 30, 2024 and December 31, 2023, respectively. We believe that substantially all cash held outside the U.S. is free from legal encumbrances or similar restrictions that would prevent it from being available to meet our global liquidity needs.</w:t>
      </w:r>
    </w:p>
    <w:p>
      <w:pPr>
        <w:spacing w:after="0" w:line="10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Gaming operations generally require significant upfront capital expenditures, and we may need to incur additional capital expenditures in order to retain or increase market share and continue our product investments. Other capital requirements for the near term primarily include debt principal and interest payments and also include purchase obligations and supply contracts, license agreement minimum guaranteed payments and lease obligations. There have been no material changes to our capital requirements disclosed in our 2023 10-K, other than those associated with our repricing of the LNWI Term Loan B, as described in Note 10.</w:t>
      </w:r>
    </w:p>
    <w:p>
      <w:pPr>
        <w:spacing w:after="0" w:line="1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ability to make payments on and to refinance our indebtedness and other obligations depends on our ability to generate cash in the future. We may, from time to time, repurchase or otherwise repay, retire or refinance our debt, through our subsidiaries or otherwise. In the event we pursue significant acquisitions or other expansion opportunities, or conduct significant repurchases of our outstanding securities, we may need to raise additional capital. If we do not have adequate liquidity to support these activities, we may be unable to obtain financing for these cash needs on favorable terms or at all. For additional information regarding our cash needs and related risks, see “Risk Factors” under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in our 2023 10-K.</w:t>
      </w:r>
    </w:p>
    <w:p>
      <w:pPr>
        <w:spacing w:after="0" w:line="1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March 1, 2022, our Board of Directors approved a share repurchase program under which we are authorized to repurchase, from time to time through February 25, 2025, up to an aggregate amount of $750 million of our outstanding common stock. During the six months ended June 30, 2024, we repurchased approximately 1.8 million shares of common stock under these programs at an aggregate cost of $176 million (including excise tax), fully exhausting the authorized share repurchase amount under the program. On June 11, 2024, our Board of Directors approved a new share repurchase program under which the Company is authorized to repurchase, from time to time through June 12, 2027, up to an aggregate amount of $1.0 billion of our outstanding common stock. Repurchases under the new share repurchase program may be effected at the discretion of the Transaction Committee of the Board of Directors through one or more open market repurchases, privately negotiated transactions, including block trades, accelerated share repurchases, issuer tender offers or other derivative contracts or instruments, “10b5-1” plan, or other financial or other arrangements, or a combination of the foregoing. The share repurchase program may be suspended or discontinued at any time. We had no repurchases under the new plan during the quarter ended June 30, 2024.</w:t>
      </w:r>
    </w:p>
    <w:p>
      <w:pPr>
        <w:spacing w:after="0" w:line="1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July 17, 2024, we amended the LNWI Credit Agreement and reduced the applicable margin on the LNWI Term Loan B. Following the amendment, the interest rate for the Term Loan B is either (i) the Adjusted Term SOFR Rate (as defined in the LNWI Credit Agreement) plus 2.25% per annum or (ii) a base rate plus 1.25% per annum.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Cash Flow Summary</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0" w:type="dxa"/>
            <w:vAlign w:val="bottom"/>
          </w:tcPr>
          <w:p>
            <w:pPr>
              <w:spacing w:after="0"/>
              <w:rPr>
                <w:sz w:val="18"/>
                <w:szCs w:val="18"/>
                <w:color w:val="auto"/>
              </w:rPr>
            </w:pPr>
          </w:p>
        </w:tc>
        <w:tc>
          <w:tcPr>
            <w:tcW w:w="13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75"/>
        </w:trPr>
        <w:tc>
          <w:tcPr>
            <w:tcW w:w="64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13"/>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64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Net cash used in investing activities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6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ind w:left="40"/>
        <w:spacing w:after="0"/>
        <w:rPr>
          <w:sz w:val="20"/>
          <w:szCs w:val="20"/>
          <w:color w:val="auto"/>
        </w:rPr>
      </w:pPr>
      <w:r>
        <w:rPr>
          <w:rFonts w:ascii="Times New Roman" w:cs="Times New Roman" w:eastAsia="Times New Roman" w:hAnsi="Times New Roman"/>
          <w:sz w:val="14"/>
          <w:szCs w:val="14"/>
          <w:color w:val="auto"/>
        </w:rPr>
        <w:t>(1) The six months ended June 30, 2023 include $3 million in cash used related to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-92710</wp:posOffset>
            </wp:positionV>
            <wp:extent cx="30346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0" w:type="dxa"/>
            <w:vAlign w:val="bottom"/>
          </w:tcPr>
          <w:p>
            <w:pPr>
              <w:spacing w:after="0"/>
              <w:rPr>
                <w:sz w:val="18"/>
                <w:szCs w:val="18"/>
                <w:color w:val="auto"/>
              </w:rPr>
            </w:pPr>
          </w:p>
        </w:tc>
        <w:tc>
          <w:tcPr>
            <w:tcW w:w="13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75"/>
        </w:trPr>
        <w:tc>
          <w:tcPr>
            <w:tcW w:w="64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ind w:left="26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13"/>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34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working capital accounts, excluding the effects of acquisitions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6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Changes in deferred income taxes and 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 increased primarily due to a $44 million increase in earnings (drivers described above).</w:t>
      </w:r>
    </w:p>
    <w:p>
      <w:pPr>
        <w:spacing w:after="0" w:line="15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Changes in working capital accounts for the six months ended June 30, 2024 as compared to the six months ended June 30, 2023 were positively impacted by the timing of disbursements, partially offset by $13 million in higher payments on contingent acquisition considerations.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primarily due to higher capital expenditures in order to support Gaming operations growth. Capital expenditures are composed of investments in systems, equipment and other assets related to contracts, property and equipment, intangible assets and software.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4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as more purchases of our outstanding common stock under our share repurchase programs and increases in net redemptions of common stock under stock-based compensation plans during the current year period were partially offset by lower license payments. During the six months ended June 30, 2024 and 2023, we purchased $175 million and $33 million, respectively, of our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and Other Debt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the LNWI Credit Agreement and other debt, interest rate risk and interest rate hedging instruments, see Notes 15 and 16 and </w:t>
      </w:r>
      <w:r>
        <w:rPr>
          <w:rFonts w:ascii="Times New Roman" w:cs="Times New Roman" w:eastAsia="Times New Roman" w:hAnsi="Times New Roman"/>
          <w:sz w:val="18"/>
          <w:szCs w:val="18"/>
          <w:i w:val="1"/>
          <w:iCs w:val="1"/>
          <w:color w:val="auto"/>
        </w:rPr>
        <w:t>Item 7A</w:t>
      </w:r>
      <w:r>
        <w:rPr>
          <w:rFonts w:ascii="Times New Roman" w:cs="Times New Roman" w:eastAsia="Times New Roman" w:hAnsi="Times New Roman"/>
          <w:sz w:val="18"/>
          <w:szCs w:val="18"/>
          <w:color w:val="auto"/>
        </w:rPr>
        <w:t xml:space="preserve"> “Quantitative and Qualitative Disclosures About Market Risk” in our 2023 10-K as well as Notes 10 and 11 and </w:t>
      </w: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xml:space="preserve"> below in this Form 10-Q.</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we did not have any significant off-balance sheet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rates and commodity prices. The following describes our financial instruments which expose us to market risk.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 face value of long-term debt was $3.9 billion, including $2.2 billion of variable rate obligations that fluctuate based on SOFR. Assuming a constant outstanding balance for our variable-rate long-term debt and excluding the impact of interest rate swap contracts, a hypothetical 1% change in interest rates would result in interest expense changing by approximately $22 million. All of our interest rate sensitive financial instruments are held for purposes other than trading.</w:t>
      </w:r>
    </w:p>
    <w:p>
      <w:pPr>
        <w:spacing w:after="0" w:line="9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April 2022, we entered into interest rate swap contracts to hedge a portion of our interest expense associated with our variable rate debt and effectively fix the interest rate that we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spacing w:after="0" w:line="112" w:lineRule="exact"/>
        <w:rPr>
          <w:sz w:val="20"/>
          <w:szCs w:val="20"/>
          <w:color w:val="auto"/>
        </w:rPr>
      </w:pPr>
    </w:p>
    <w:p>
      <w:pPr>
        <w:ind w:right="1700" w:firstLine="648"/>
        <w:spacing w:after="0" w:line="414" w:lineRule="auto"/>
        <w:rPr>
          <w:sz w:val="20"/>
          <w:szCs w:val="20"/>
          <w:color w:val="auto"/>
        </w:rPr>
      </w:pPr>
      <w:r>
        <w:rPr>
          <w:rFonts w:ascii="Times New Roman" w:cs="Times New Roman" w:eastAsia="Times New Roman" w:hAnsi="Times New Roman"/>
          <w:sz w:val="18"/>
          <w:szCs w:val="18"/>
          <w:color w:val="auto"/>
        </w:rPr>
        <w:t xml:space="preserve">For additional information regarding our long-term debt and interest rate swap contracts, see Notes 10 and 11, respectively. </w:t>
      </w:r>
      <w:r>
        <w:rPr>
          <w:rFonts w:ascii="Times New Roman" w:cs="Times New Roman" w:eastAsia="Times New Roman" w:hAnsi="Times New Roman"/>
          <w:sz w:val="18"/>
          <w:szCs w:val="18"/>
          <w:b w:val="1"/>
          <w:bCs w:val="1"/>
          <w:color w:val="auto"/>
        </w:rPr>
        <w:t>Item 4. Controls and Procedures</w:t>
      </w:r>
    </w:p>
    <w:p>
      <w:pPr>
        <w:spacing w:after="0" w:line="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3a-15(b) as of the end of the period covered by this report. Based on that evaluation, the Chief Executive Officer and Chief Financial Officer have concluded that these disclosure controls and procedures are effective as of June 30, 2024.</w:t>
      </w:r>
    </w:p>
    <w:p>
      <w:pPr>
        <w:spacing w:after="0" w:line="11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2024 that have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discussion of our legal proceedings, see Note 15, in this Quarterly Report on Form 10-Q and Note 20 in our 2023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There have been no material changes in our risk factors from those disclosed under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included in our 2023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repurchased 1.6 million shares under the share repurchase programs during the three months ended June 30, 2024.</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for price per share)</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21590</wp:posOffset>
            </wp:positionV>
            <wp:extent cx="71062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p>
      <w:pPr>
        <w:spacing w:after="0" w:line="26"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2640" w:type="dxa"/>
            <w:vAlign w:val="bottom"/>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2640" w:type="dxa"/>
            <w:vAlign w:val="bottom"/>
          </w:tcPr>
          <w:p>
            <w:pPr>
              <w:jc w:val="center"/>
              <w:ind w:left="359"/>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76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92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Total Cost of Repurchase</w:t>
            </w: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640" w:type="dxa"/>
            <w:vAlign w:val="bottom"/>
          </w:tcPr>
          <w:p>
            <w:pPr>
              <w:jc w:val="center"/>
              <w:ind w:left="359"/>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76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640" w:type="dxa"/>
            <w:vAlign w:val="bottom"/>
          </w:tcPr>
          <w:p>
            <w:pPr>
              <w:jc w:val="center"/>
              <w:ind w:left="359"/>
              <w:spacing w:after="0" w:line="216" w:lineRule="exact"/>
              <w:rPr>
                <w:sz w:val="20"/>
                <w:szCs w:val="20"/>
                <w:color w:val="auto"/>
              </w:rPr>
            </w:pPr>
            <w:r>
              <w:rPr>
                <w:rFonts w:ascii="Times New Roman" w:cs="Times New Roman" w:eastAsia="Times New Roman" w:hAnsi="Times New Roman"/>
                <w:sz w:val="16"/>
                <w:szCs w:val="16"/>
                <w:b w:val="1"/>
                <w:bCs w:val="1"/>
                <w:color w:val="auto"/>
                <w:w w:val="95"/>
              </w:rPr>
              <w:t>Programs</w:t>
            </w:r>
            <w:r>
              <w:rPr>
                <w:rFonts w:ascii="Times New Roman" w:cs="Times New Roman" w:eastAsia="Times New Roman" w:hAnsi="Times New Roman"/>
                <w:sz w:val="21"/>
                <w:szCs w:val="21"/>
                <w:b w:val="1"/>
                <w:bCs w:val="1"/>
                <w:color w:val="auto"/>
                <w:w w:val="95"/>
                <w:vertAlign w:val="superscript"/>
              </w:rPr>
              <w:t>(1)</w:t>
            </w:r>
          </w:p>
        </w:tc>
        <w:tc>
          <w:tcPr>
            <w:tcW w:w="1760" w:type="dxa"/>
            <w:vAlign w:val="bottom"/>
          </w:tcPr>
          <w:p>
            <w:pPr>
              <w:jc w:val="center"/>
              <w:ind w:left="39"/>
              <w:spacing w:after="0" w:line="216" w:lineRule="exact"/>
              <w:rPr>
                <w:sz w:val="20"/>
                <w:szCs w:val="20"/>
                <w:color w:val="auto"/>
              </w:rPr>
            </w:pPr>
            <w:r>
              <w:rPr>
                <w:rFonts w:ascii="Times New Roman" w:cs="Times New Roman" w:eastAsia="Times New Roman" w:hAnsi="Times New Roman"/>
                <w:sz w:val="16"/>
                <w:szCs w:val="16"/>
                <w:b w:val="1"/>
                <w:bCs w:val="1"/>
                <w:color w:val="auto"/>
                <w:w w:val="95"/>
              </w:rPr>
              <w:t>per Share</w:t>
            </w:r>
            <w:r>
              <w:rPr>
                <w:rFonts w:ascii="Times New Roman" w:cs="Times New Roman" w:eastAsia="Times New Roman" w:hAnsi="Times New Roman"/>
                <w:sz w:val="21"/>
                <w:szCs w:val="21"/>
                <w:b w:val="1"/>
                <w:bCs w:val="1"/>
                <w:color w:val="auto"/>
                <w:w w:val="95"/>
                <w:vertAlign w:val="superscript"/>
              </w:rPr>
              <w:t>(2)</w:t>
            </w:r>
          </w:p>
        </w:tc>
        <w:tc>
          <w:tcPr>
            <w:tcW w:w="1920" w:type="dxa"/>
            <w:vAlign w:val="bottom"/>
          </w:tcPr>
          <w:p>
            <w:pPr>
              <w:jc w:val="center"/>
              <w:ind w:left="99"/>
              <w:spacing w:after="0" w:line="216" w:lineRule="exact"/>
              <w:rPr>
                <w:sz w:val="20"/>
                <w:szCs w:val="20"/>
                <w:color w:val="auto"/>
              </w:rPr>
            </w:pPr>
            <w:r>
              <w:rPr>
                <w:rFonts w:ascii="Times New Roman" w:cs="Times New Roman" w:eastAsia="Times New Roman" w:hAnsi="Times New Roman"/>
                <w:sz w:val="16"/>
                <w:szCs w:val="16"/>
                <w:b w:val="1"/>
                <w:bCs w:val="1"/>
                <w:color w:val="auto"/>
                <w:w w:val="95"/>
              </w:rPr>
              <w:t>(in millions)</w:t>
            </w:r>
            <w:r>
              <w:rPr>
                <w:rFonts w:ascii="Times New Roman" w:cs="Times New Roman" w:eastAsia="Times New Roman" w:hAnsi="Times New Roman"/>
                <w:sz w:val="21"/>
                <w:szCs w:val="21"/>
                <w:b w:val="1"/>
                <w:bCs w:val="1"/>
                <w:color w:val="auto"/>
                <w:w w:val="95"/>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ind w:right="40"/>
        <w:spacing w:after="0" w:line="187" w:lineRule="auto"/>
        <w:rPr>
          <w:sz w:val="20"/>
          <w:szCs w:val="20"/>
          <w:color w:val="auto"/>
        </w:rPr>
      </w:pPr>
      <w:r>
        <w:rPr>
          <w:rFonts w:ascii="Times New Roman" w:cs="Times New Roman" w:eastAsia="Times New Roman" w:hAnsi="Times New Roman"/>
          <w:sz w:val="15"/>
          <w:szCs w:val="15"/>
          <w:b w:val="1"/>
          <w:bCs w:val="1"/>
          <w:color w:val="auto"/>
        </w:rPr>
        <w:t>Approximate Dollar Value of Shares that May Yet Be Purchased Under the Programs (in millions)</w:t>
      </w:r>
      <w:r>
        <w:rPr>
          <w:rFonts w:ascii="Times New Roman" w:cs="Times New Roman" w:eastAsia="Times New Roman" w:hAnsi="Times New Roman"/>
          <w:sz w:val="20"/>
          <w:szCs w:val="20"/>
          <w:b w:val="1"/>
          <w:bCs w:val="1"/>
          <w:color w:val="auto"/>
          <w:vertAlign w:val="superscript"/>
        </w:rPr>
        <w:t>(1)</w:t>
      </w:r>
    </w:p>
    <w:p>
      <w:pPr>
        <w:ind w:left="1140"/>
        <w:spacing w:after="0"/>
        <w:rPr>
          <w:sz w:val="20"/>
          <w:szCs w:val="20"/>
          <w:color w:val="auto"/>
        </w:rPr>
      </w:pPr>
      <w:r>
        <w:rPr>
          <w:rFonts w:ascii="Times New Roman" w:cs="Times New Roman" w:eastAsia="Times New Roman" w:hAnsi="Times New Roman"/>
          <w:sz w:val="11"/>
          <w:szCs w:val="11"/>
          <w:b w:val="1"/>
          <w:bCs w:val="1"/>
          <w:color w:val="auto"/>
        </w:rPr>
        <w:t>(2)</w:t>
      </w:r>
    </w:p>
    <w:p>
      <w:pPr>
        <w:spacing w:after="0" w:line="76" w:lineRule="exact"/>
        <w:rPr>
          <w:sz w:val="20"/>
          <w:szCs w:val="20"/>
          <w:color w:val="auto"/>
        </w:rPr>
      </w:pPr>
    </w:p>
    <w:p>
      <w:pPr>
        <w:sectPr>
          <w:pgSz w:w="11900" w:h="16838" w:orient="portrait"/>
          <w:cols w:equalWidth="0" w:num="2">
            <w:col w:w="8440" w:space="340"/>
            <w:col w:w="2440"/>
          </w:cols>
          <w:pgMar w:left="320" w:top="889" w:right="35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23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8"/>
              </w:rPr>
              <w:t>4/1/2024 - 4/30/2024</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23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8"/>
              </w:rPr>
              <w:t>5/1/2024 - 5/31/2024</w:t>
            </w:r>
          </w:p>
        </w:tc>
        <w:tc>
          <w:tcPr>
            <w:tcW w:w="1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23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8"/>
              </w:rPr>
              <w:t>6/1/2024 - 6/30/2024</w:t>
            </w:r>
          </w:p>
        </w:tc>
        <w:tc>
          <w:tcPr>
            <w:tcW w:w="100" w:type="dxa"/>
            <w:vAlign w:val="bottom"/>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1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8" w:lineRule="exact"/>
        <w:rPr>
          <w:sz w:val="20"/>
          <w:szCs w:val="20"/>
          <w:color w:val="auto"/>
        </w:rPr>
      </w:pPr>
    </w:p>
    <w:p>
      <w:pPr>
        <w:ind w:left="40" w:right="40" w:firstLine="6"/>
        <w:spacing w:after="0" w:line="261" w:lineRule="auto"/>
        <w:tabs>
          <w:tab w:leader="none" w:pos="24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11, 2024, our Board of Directors approved a new share repurchase program under which the Company is authorized to repurchase, from time to time through June 12, 2027, up to an aggregate amount of $1.0 billion of shares of our outstanding common stock.</w:t>
      </w:r>
    </w:p>
    <w:p>
      <w:pPr>
        <w:spacing w:after="0" w:line="135" w:lineRule="exact"/>
        <w:rPr>
          <w:rFonts w:ascii="Times New Roman" w:cs="Times New Roman" w:eastAsia="Times New Roman" w:hAnsi="Times New Roman"/>
          <w:sz w:val="14"/>
          <w:szCs w:val="14"/>
          <w:color w:val="auto"/>
        </w:rPr>
      </w:pPr>
    </w:p>
    <w:p>
      <w:pPr>
        <w:ind w:left="40" w:right="160" w:firstLine="6"/>
        <w:spacing w:after="0" w:line="241" w:lineRule="auto"/>
        <w:tabs>
          <w:tab w:leader="none" w:pos="24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is calculated on a settlement basis and excludes excise tax. As of January 1, 2023, our share repurchases in excess of issuances are subject to a 1% excise tax enacted by the Inflation Reduction Act, resulting in $1 million recorded as of June 30, 2024. Any excise tax incurred is recognized in stockholders’ equity as part of the cost basis of the shares acquired.</w:t>
      </w:r>
    </w:p>
    <w:p>
      <w:pPr>
        <w:spacing w:after="0" w:line="231" w:lineRule="exact"/>
        <w:rPr>
          <w:sz w:val="20"/>
          <w:szCs w:val="20"/>
          <w:color w:val="auto"/>
        </w:rPr>
      </w:pPr>
    </w:p>
    <w:p>
      <w:pPr>
        <w:jc w:val="center"/>
        <w:ind w:right="818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jc w:val="center"/>
        <w:ind w:right="948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60"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88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14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three months ended June 30, 2024, no director or officer of the Company adopted or terminated a "Rule 10b5-1 trading arrangement" as such term is defined in Item 408(a) of Regulation S-K.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80" w:type="dxa"/>
            <w:vAlign w:val="bottom"/>
            <w:gridSpan w:val="13"/>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980" w:type="dxa"/>
            <w:vAlign w:val="bottom"/>
            <w:gridSpan w:val="1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9940" w:type="dxa"/>
            <w:vAlign w:val="bottom"/>
            <w:tcBorders>
              <w:top w:val="single" w:sz="8" w:color="auto"/>
            </w:tcBorders>
            <w:gridSpan w:val="17"/>
            <w:shd w:val="clear" w:color="auto" w:fill="CCEEFF"/>
          </w:tcPr>
          <w:p>
            <w:pPr>
              <w:spacing w:after="0" w:line="18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Restated Articles of Incorporation of Light &amp; Wonder, Inc., filed with the Secretary of State of the State of Nevada on August 5, 2022</w:t>
              </w:r>
            </w:hyperlink>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(incorporated by reference to Exhibit 3.1(a) to Light &amp; Wonder, Inc.’s Quarterly Report on Form 10-Q for the quarter ended June 30,</w:t>
              </w:r>
            </w:hyperlink>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230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2022).</w:t>
              </w:r>
            </w:hyperlink>
          </w:p>
        </w:tc>
        <w:tc>
          <w:tcPr>
            <w:tcW w:w="26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3740" w:type="dxa"/>
            <w:vAlign w:val="bottom"/>
            <w:tcBorders>
              <w:top w:val="single" w:sz="8" w:color="0000FF"/>
            </w:tcBorders>
            <w:shd w:val="clear" w:color="auto" w:fill="CCEEFF"/>
          </w:tcPr>
          <w:p>
            <w:pPr>
              <w:spacing w:after="0"/>
              <w:rPr>
                <w:sz w:val="16"/>
                <w:szCs w:val="16"/>
                <w:color w:val="auto"/>
              </w:rPr>
            </w:pPr>
          </w:p>
        </w:tc>
        <w:tc>
          <w:tcPr>
            <w:tcW w:w="2220" w:type="dxa"/>
            <w:vAlign w:val="bottom"/>
            <w:tcBorders>
              <w:top w:val="single" w:sz="8" w:color="0000FF"/>
            </w:tcBorders>
            <w:shd w:val="clear" w:color="auto" w:fill="CCEEFF"/>
          </w:tcPr>
          <w:p>
            <w:pPr>
              <w:spacing w:after="0"/>
              <w:rPr>
                <w:sz w:val="16"/>
                <w:szCs w:val="16"/>
                <w:color w:val="auto"/>
              </w:rPr>
            </w:pPr>
          </w:p>
        </w:tc>
        <w:tc>
          <w:tcPr>
            <w:tcW w:w="6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Third Amended and Restated Bylaws of Light &amp; Wonder, Inc., effective as of August 3, 2023 (incorporated by reference to Exhibit 3.2 to</w:t>
              </w:r>
            </w:hyperlink>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90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Light &amp; Wonder, Inc.’s Quarterly Report on Form 10-Q for the quarter ended June 30, 2023).</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740" w:type="dxa"/>
            <w:vAlign w:val="bottom"/>
            <w:tcBorders>
              <w:top w:val="single" w:sz="8" w:color="0000FF"/>
            </w:tcBorders>
          </w:tcPr>
          <w:p>
            <w:pPr>
              <w:spacing w:after="0"/>
              <w:rPr>
                <w:sz w:val="12"/>
                <w:szCs w:val="12"/>
                <w:color w:val="auto"/>
              </w:rPr>
            </w:pPr>
          </w:p>
        </w:tc>
        <w:tc>
          <w:tcPr>
            <w:tcW w:w="2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Amendment No. 2, dated as of July 17, 2024, among Light and Wonder International, Inc., as the borrower, Light &amp; Wonder, Inc., as</w:t>
              </w:r>
            </w:hyperlink>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9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9820" w:type="dxa"/>
            <w:vAlign w:val="bottom"/>
            <w:tcBorders>
              <w:bottom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holdings, the several banks and other financial institutions or entities from time to time parties thereto and JPMorgan Chase Bank, N.A.,</w:t>
              </w:r>
            </w:hyperlink>
          </w:p>
        </w:tc>
        <w:tc>
          <w:tcPr>
            <w:tcW w:w="120" w:type="dxa"/>
            <w:vAlign w:val="bottom"/>
            <w:tcBorders>
              <w:bottom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940" w:type="dxa"/>
            <w:vAlign w:val="bottom"/>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as administrative agent, collateral agent, issuing lender and swingline lender, which amended the Credit Agreement, dated as of April 14,</w:t>
              </w:r>
            </w:hyperlink>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860" w:type="dxa"/>
            <w:vAlign w:val="bottom"/>
            <w:tcBorders>
              <w:top w:val="single" w:sz="8" w:color="0000FF"/>
            </w:tcBorders>
            <w:gridSpan w:val="14"/>
            <w:shd w:val="clear" w:color="auto" w:fill="CCEEFF"/>
          </w:tcPr>
          <w:p>
            <w:pPr>
              <w:spacing w:after="0" w:line="16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2022 (incorporated by reference to Exhibit 10.1 to Light &amp; Wonder, Inc.’s Current Report on Form 8-K filed July 17, 2024).</w:t>
              </w:r>
            </w:hyperlink>
          </w:p>
        </w:tc>
        <w:tc>
          <w:tcPr>
            <w:tcW w:w="6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740" w:type="dxa"/>
            <w:vAlign w:val="bottom"/>
            <w:tcBorders>
              <w:top w:val="single" w:sz="8" w:color="0000FF"/>
            </w:tcBorders>
          </w:tcPr>
          <w:p>
            <w:pPr>
              <w:spacing w:after="0"/>
              <w:rPr>
                <w:sz w:val="12"/>
                <w:szCs w:val="12"/>
                <w:color w:val="auto"/>
              </w:rPr>
            </w:pPr>
          </w:p>
        </w:tc>
        <w:tc>
          <w:tcPr>
            <w:tcW w:w="2220" w:type="dxa"/>
            <w:vAlign w:val="bottom"/>
            <w:tcBorders>
              <w:top w:val="single" w:sz="8" w:color="0000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of Light &amp; Wonder, Inc. pursuant to Rule 13a-14(a), as adopted pursuant to Section 302 of</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680" w:type="dxa"/>
            <w:vAlign w:val="bottom"/>
            <w:tcBorders>
              <w:top w:val="single" w:sz="8" w:color="0000FF"/>
            </w:tcBorders>
            <w:gridSpan w:val="1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Chief Financial Officer of Light &amp; Wonder, Inc. pursuant to Rule 13a-14(a), as adopted pursuant to Section 302 of the</w:t>
            </w:r>
          </w:p>
        </w:tc>
        <w:tc>
          <w:tcPr>
            <w:tcW w:w="0" w:type="dxa"/>
            <w:vAlign w:val="bottom"/>
          </w:tcPr>
          <w:p>
            <w:pPr>
              <w:spacing w:after="0"/>
              <w:rPr>
                <w:sz w:val="1"/>
                <w:szCs w:val="1"/>
                <w:color w:val="auto"/>
              </w:rPr>
            </w:pPr>
          </w:p>
        </w:tc>
      </w:tr>
      <w:tr>
        <w:trPr>
          <w:trHeight w:val="189"/>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920" w:type="dxa"/>
            <w:vAlign w:val="bottom"/>
            <w:tcBorders>
              <w:top w:val="single" w:sz="8" w:color="0000FF"/>
            </w:tcBorders>
            <w:gridSpan w:val="1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of Light &amp; Wonder, Inc. pursuant to 18 U.S.C. Section 1350, as adopted pursuant to Section</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800" w:type="dxa"/>
            <w:vAlign w:val="bottom"/>
            <w:tcBorders>
              <w:top w:val="single" w:sz="8" w:color="0000FF"/>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40" w:type="dxa"/>
            <w:vAlign w:val="bottom"/>
            <w:tcBorders>
              <w:top w:val="single" w:sz="8" w:color="CCEEFF"/>
            </w:tcBorders>
            <w:gridSpan w:val="5"/>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of Light &amp; Wonder, Inc. pursuant to 18 U.S.C. Section 1350, as adopted pursuant to Section</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740" w:type="dxa"/>
            <w:vAlign w:val="bottom"/>
            <w:tcBorders>
              <w:top w:val="single" w:sz="8" w:color="0000FF"/>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200" w:type="dxa"/>
            <w:vAlign w:val="bottom"/>
            <w:tcBorders>
              <w:top w:val="single" w:sz="8" w:color="CCEEFF"/>
            </w:tcBorders>
            <w:gridSpan w:val="6"/>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20" w:type="dxa"/>
            <w:vAlign w:val="bottom"/>
            <w:tcBorders>
              <w:right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101.INS</w:t>
            </w:r>
          </w:p>
        </w:tc>
        <w:tc>
          <w:tcPr>
            <w:tcW w:w="99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43"/>
        </w:trPr>
        <w:tc>
          <w:tcPr>
            <w:tcW w:w="12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101.DEF</w:t>
            </w: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Label Linkbase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99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300" w:right="100" w:hanging="833"/>
        <w:spacing w:after="0" w:line="237"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LIGHT &amp; WONDER, INC.</w:t>
      </w:r>
    </w:p>
    <w:p>
      <w:pPr>
        <w:spacing w:after="0" w:line="27" w:lineRule="exact"/>
        <w:rPr>
          <w:sz w:val="20"/>
          <w:szCs w:val="20"/>
          <w:color w:val="auto"/>
        </w:rPr>
      </w:pPr>
    </w:p>
    <w:tbl>
      <w:tblPr>
        <w:tblLayout w:type="fixed"/>
        <w:tblInd w:w="4620" w:type="dxa"/>
        <w:tblCellMar>
          <w:top w:w="0" w:type="dxa"/>
          <w:left w:w="0" w:type="dxa"/>
          <w:bottom w:w="0" w:type="dxa"/>
          <w:right w:w="0" w:type="dxa"/>
        </w:tblCellMar>
      </w:tblPr>
      <w:tr>
        <w:trPr>
          <w:trHeight w:val="234"/>
        </w:trPr>
        <w:tc>
          <w:tcPr>
            <w:tcW w:w="1000" w:type="dxa"/>
            <w:vAlign w:val="bottom"/>
            <w:tcBorders>
              <w:top w:val="single" w:sz="8" w:color="auto"/>
            </w:tcBorders>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47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Oliver Chow</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000" w:type="dxa"/>
            <w:vAlign w:val="bottom"/>
            <w:vMerge w:val="continue"/>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Oliver Chow</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August 7,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Matthew R. Wilson, certify that:</w:t>
      </w:r>
    </w:p>
    <w:p>
      <w:pPr>
        <w:spacing w:after="0" w:line="306" w:lineRule="exact"/>
        <w:rPr>
          <w:sz w:val="20"/>
          <w:szCs w:val="20"/>
          <w:color w:val="auto"/>
        </w:rPr>
      </w:pPr>
    </w:p>
    <w:p>
      <w:pPr>
        <w:ind w:left="920" w:hanging="32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Light &amp; Wonder, Inc.;</w:t>
      </w:r>
    </w:p>
    <w:p>
      <w:pPr>
        <w:spacing w:after="0" w:line="144" w:lineRule="exact"/>
        <w:rPr>
          <w:rFonts w:ascii="Times New Roman" w:cs="Times New Roman" w:eastAsia="Times New Roman" w:hAnsi="Times New Roman"/>
          <w:sz w:val="18"/>
          <w:szCs w:val="18"/>
          <w:color w:val="auto"/>
        </w:rPr>
      </w:pPr>
    </w:p>
    <w:p>
      <w:pPr>
        <w:jc w:val="both"/>
        <w:ind w:left="920" w:right="60" w:hanging="324"/>
        <w:spacing w:after="0" w:line="266"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20" w:right="20" w:hanging="324"/>
        <w:spacing w:after="0" w:line="282"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920" w:right="180" w:hanging="324"/>
        <w:spacing w:after="0" w:line="266"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60" w:right="20" w:hanging="316"/>
        <w:spacing w:after="0" w:line="266" w:lineRule="auto"/>
        <w:tabs>
          <w:tab w:leader="none" w:pos="15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60" w:right="100" w:hanging="316"/>
        <w:spacing w:after="0" w:line="266" w:lineRule="auto"/>
        <w:tabs>
          <w:tab w:leader="none" w:pos="15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560" w:right="180" w:hanging="316"/>
        <w:spacing w:after="0" w:line="266" w:lineRule="auto"/>
        <w:tabs>
          <w:tab w:leader="none" w:pos="15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560" w:right="300" w:hanging="316"/>
        <w:spacing w:after="0" w:line="266" w:lineRule="auto"/>
        <w:tabs>
          <w:tab w:leader="none" w:pos="15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20" w:hanging="324"/>
        <w:spacing w:after="0" w:line="282" w:lineRule="auto"/>
        <w:tabs>
          <w:tab w:leader="none" w:pos="8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60" w:right="180" w:hanging="316"/>
        <w:spacing w:after="0" w:line="282" w:lineRule="auto"/>
        <w:tabs>
          <w:tab w:leader="none" w:pos="15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60" w:right="460" w:hanging="316"/>
        <w:spacing w:after="0" w:line="282" w:lineRule="auto"/>
        <w:tabs>
          <w:tab w:leader="none" w:pos="152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27774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R.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ectPr>
          <w:pgSz w:w="11900" w:h="16838" w:orient="portrait"/>
          <w:cols w:equalWidth="0" w:num="1">
            <w:col w:w="11180"/>
          </w:cols>
          <w:pgMar w:left="380" w:top="14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Oliver Chow, certify that:</w:t>
      </w:r>
    </w:p>
    <w:p>
      <w:pPr>
        <w:spacing w:after="0" w:line="306" w:lineRule="exact"/>
        <w:rPr>
          <w:sz w:val="20"/>
          <w:szCs w:val="20"/>
          <w:color w:val="auto"/>
        </w:rPr>
      </w:pPr>
    </w:p>
    <w:p>
      <w:pPr>
        <w:ind w:left="920" w:hanging="32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Light &amp; Wonder, Inc.;</w:t>
      </w:r>
    </w:p>
    <w:p>
      <w:pPr>
        <w:spacing w:after="0" w:line="144" w:lineRule="exact"/>
        <w:rPr>
          <w:rFonts w:ascii="Times New Roman" w:cs="Times New Roman" w:eastAsia="Times New Roman" w:hAnsi="Times New Roman"/>
          <w:sz w:val="18"/>
          <w:szCs w:val="18"/>
          <w:color w:val="auto"/>
        </w:rPr>
      </w:pPr>
    </w:p>
    <w:p>
      <w:pPr>
        <w:jc w:val="both"/>
        <w:ind w:left="920" w:right="60" w:hanging="324"/>
        <w:spacing w:after="0" w:line="250"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920" w:right="20" w:hanging="324"/>
        <w:spacing w:after="0" w:line="266"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920" w:right="180" w:hanging="324"/>
        <w:spacing w:after="0" w:line="258"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Times New Roman" w:cs="Times New Roman" w:eastAsia="Times New Roman" w:hAnsi="Times New Roman"/>
          <w:sz w:val="18"/>
          <w:szCs w:val="18"/>
          <w:color w:val="auto"/>
        </w:rPr>
      </w:pPr>
    </w:p>
    <w:p>
      <w:pPr>
        <w:ind w:left="1560" w:right="20" w:hanging="316"/>
        <w:spacing w:after="0" w:line="258" w:lineRule="auto"/>
        <w:tabs>
          <w:tab w:leader="none" w:pos="15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1560" w:right="100" w:hanging="316"/>
        <w:spacing w:after="0" w:line="250" w:lineRule="auto"/>
        <w:tabs>
          <w:tab w:leader="none" w:pos="15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560" w:right="180" w:hanging="316"/>
        <w:spacing w:after="0" w:line="258" w:lineRule="auto"/>
        <w:tabs>
          <w:tab w:leader="none" w:pos="15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8"/>
          <w:szCs w:val="18"/>
          <w:color w:val="auto"/>
        </w:rPr>
      </w:pPr>
    </w:p>
    <w:p>
      <w:pPr>
        <w:ind w:left="1560" w:right="300" w:hanging="316"/>
        <w:spacing w:after="0" w:line="258" w:lineRule="auto"/>
        <w:tabs>
          <w:tab w:leader="none" w:pos="15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920" w:right="140" w:hanging="324"/>
        <w:spacing w:after="0" w:line="296" w:lineRule="auto"/>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7"/>
          <w:szCs w:val="17"/>
          <w:color w:val="auto"/>
        </w:rPr>
      </w:pPr>
    </w:p>
    <w:p>
      <w:pPr>
        <w:ind w:left="1560" w:right="140" w:hanging="316"/>
        <w:spacing w:after="0" w:line="266" w:lineRule="auto"/>
        <w:tabs>
          <w:tab w:leader="none" w:pos="15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60" w:right="420" w:hanging="316"/>
        <w:spacing w:after="0" w:line="282" w:lineRule="auto"/>
        <w:tabs>
          <w:tab w:leader="none" w:pos="15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43180</wp:posOffset>
            </wp:positionV>
            <wp:extent cx="27774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Oliver Chow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ectPr>
          <w:pgSz w:w="11900" w:h="16838" w:orient="portrait"/>
          <w:cols w:equalWidth="0" w:num="1">
            <w:col w:w="11180"/>
          </w:cols>
          <w:pgMar w:left="380" w:top="14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Light &amp; Wonder, Inc. (the “Company”) on Form 10-Q for the period ended June 30, 2024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3531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R. Wilson</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7, 2024</w:t>
      </w:r>
    </w:p>
    <w:p>
      <w:pPr>
        <w:sectPr>
          <w:pgSz w:w="11900" w:h="16838" w:orient="portrait"/>
          <w:cols w:equalWidth="0" w:num="1">
            <w:col w:w="11240"/>
          </w:cols>
          <w:pgMar w:left="320" w:top="149"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Light &amp; Wonder, Inc. (the “Company”) for the period ended June 30, 2024 as filed with the Securities and Exchange Commission on the date hereof (the “Report”), I, Oliver Chow, Chief Financial Officer of the Company, certify, pursuant to 18 U.S.C. § 1350, as adopted pursuant to Section 906 of the Sarbanes 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3531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Oliver Chow</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7, 2024</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lvl w:ilvl="1">
      <w:lvlJc w:val="left"/>
      <w:lvlText w:val="(%2)"/>
      <w:numFmt w:val="decimal"/>
      <w:start w:val="1"/>
    </w:lvl>
  </w:abstractNum>
  <w:abstractNum w:abstractNumId="9">
    <w:nsid w:val="4E6AFB66"/>
    <w:multiLevelType w:val="hybridMultilevel"/>
    <w:lvl w:ilvl="0">
      <w:lvlJc w:val="left"/>
      <w:lvlText w:val="(%1)"/>
      <w:numFmt w:val="decimal"/>
      <w:start w:val="4"/>
    </w:lvl>
    <w:lvl w:ilvl="1">
      <w:lvlJc w:val="left"/>
      <w:lvlText w:val="%2"/>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5"/>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lvl w:ilvl="1">
      <w:lvlJc w:val="left"/>
      <w:lvlText w:val="%2"/>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78" Type="http://schemas.openxmlformats.org/officeDocument/2006/relationships/hyperlink" Target="https://www.sec.gov/Archives/edgar/data/750004/000075000422000025/ex31arestatedarticlesofinc.htm" TargetMode="External"/><Relationship Id="rId79" Type="http://schemas.openxmlformats.org/officeDocument/2006/relationships/hyperlink" Target="https://www.sec.gov/Archives/edgar/data/750004/000075000423000031/ex32-thirdamendedandrestat.htm" TargetMode="External"/><Relationship Id="rId80" Type="http://schemas.openxmlformats.org/officeDocument/2006/relationships/hyperlink" Target="https://www.sec.gov/Archives/edgar/data/750004/000110465924080590/tm241963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2024-08-07T16:13:31Z</dcterms:created>
  <dcterms:modified xsi:type="dcterms:W3CDTF">2024-08-07T16:13:31Z</dcterms:modified>
</cp:coreProperties>
</file>