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right="420" w:firstLine="8"/>
        <w:spacing w:after="0" w:line="274" w:lineRule="auto"/>
        <w:tabs>
          <w:tab w:leader="none" w:pos="289"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right="400" w:firstLine="8"/>
        <w:spacing w:after="0" w:line="274" w:lineRule="auto"/>
        <w:tabs>
          <w:tab w:leader="none" w:pos="289"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001-38889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60325</wp:posOffset>
            </wp:positionV>
            <wp:extent cx="144018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SCIPLAY CORPORATION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00"/>
          </w:cols>
          <w:pgMar w:left="320" w:top="868" w:right="379" w:bottom="1440" w:gutter="0" w:footer="0" w:header="0"/>
        </w:sectPr>
      </w:pPr>
    </w:p>
    <w:p>
      <w:pPr>
        <w:spacing w:after="0" w:line="30"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83-2692460</w:t>
      </w:r>
    </w:p>
    <w:p>
      <w:pPr>
        <w:spacing w:after="0" w:line="81" w:lineRule="exact"/>
        <w:rPr>
          <w:sz w:val="24"/>
          <w:szCs w:val="24"/>
          <w:color w:val="auto"/>
        </w:rPr>
      </w:pPr>
    </w:p>
    <w:p>
      <w:pPr>
        <w:sectPr>
          <w:pgSz w:w="11900" w:h="16838" w:orient="portrait"/>
          <w:cols w:equalWidth="0" w:num="2">
            <w:col w:w="7380" w:space="720"/>
            <w:col w:w="3100"/>
          </w:cols>
          <w:pgMar w:left="320" w:top="868" w:right="379" w:bottom="1440" w:gutter="0" w:footer="0" w:header="0"/>
          <w:type w:val="continuous"/>
        </w:sectPr>
      </w:pPr>
    </w:p>
    <w:p>
      <w:pPr>
        <w:ind w:left="176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57" w:lineRule="exact"/>
        <w:rPr>
          <w:sz w:val="24"/>
          <w:szCs w:val="24"/>
          <w:color w:val="auto"/>
        </w:rPr>
      </w:pPr>
    </w:p>
    <w:p>
      <w:pPr>
        <w:sectPr>
          <w:pgSz w:w="11900" w:h="16838" w:orient="portrait"/>
          <w:cols w:equalWidth="0" w:num="2">
            <w:col w:w="6640" w:space="720"/>
            <w:col w:w="3840"/>
          </w:cols>
          <w:pgMar w:left="320" w:top="868" w:right="379" w:bottom="1440" w:gutter="0" w:footer="0" w:header="0"/>
          <w:type w:val="continuous"/>
        </w:sectPr>
      </w:pPr>
    </w:p>
    <w:p>
      <w:pPr>
        <w:ind w:left="1720"/>
        <w:spacing w:after="0"/>
        <w:rPr>
          <w:sz w:val="20"/>
          <w:szCs w:val="20"/>
          <w:color w:val="auto"/>
        </w:rPr>
      </w:pPr>
      <w:r>
        <w:rPr>
          <w:rFonts w:ascii="Arial" w:cs="Arial" w:eastAsia="Arial" w:hAnsi="Arial"/>
          <w:sz w:val="15"/>
          <w:szCs w:val="15"/>
          <w:color w:val="auto"/>
        </w:rPr>
        <w:t>incorporation or organization)</w:t>
      </w:r>
    </w:p>
    <w:p>
      <w:pPr>
        <w:sectPr>
          <w:pgSz w:w="11900" w:h="16838" w:orient="portrait"/>
          <w:cols w:equalWidth="0" w:num="1">
            <w:col w:w="11200"/>
          </w:cols>
          <w:pgMar w:left="320" w:top="868" w:right="379" w:bottom="1440" w:gutter="0" w:footer="0" w:header="0"/>
          <w:type w:val="continuous"/>
        </w:sectPr>
      </w:pPr>
    </w:p>
    <w:p>
      <w:pPr>
        <w:spacing w:after="0" w:line="1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6601 Bermuda Road, Las Vegas, Nevada 89119</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(Zip Code)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(702) 897-7150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50" w:type="dxa"/>
        <w:tblCellMar>
          <w:top w:w="0" w:type="dxa"/>
          <w:left w:w="0" w:type="dxa"/>
          <w:bottom w:w="0" w:type="dxa"/>
          <w:right w:w="0" w:type="dxa"/>
        </w:tblCellMar>
      </w:tblPr>
      <w:tr>
        <w:trPr>
          <w:trHeight w:val="267"/>
        </w:trPr>
        <w:tc>
          <w:tcPr>
            <w:tcW w:w="4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Name of each exchange on which registered</w:t>
            </w: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Class A Common Stock, $.001 par value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SCPL</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The Nasdaq Stock Market</w:t>
            </w:r>
          </w:p>
        </w:tc>
      </w:tr>
    </w:tbl>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w:t>
      </w:r>
    </w:p>
    <w:p>
      <w:pPr>
        <w:spacing w:after="0" w:line="31" w:lineRule="exact"/>
        <w:rPr>
          <w:sz w:val="24"/>
          <w:szCs w:val="24"/>
          <w:color w:val="auto"/>
        </w:rPr>
      </w:pPr>
    </w:p>
    <w:p>
      <w:pPr>
        <w:spacing w:after="0" w:line="200" w:lineRule="exact"/>
        <w:rPr>
          <w:sz w:val="20"/>
          <w:szCs w:val="20"/>
          <w:color w:val="auto"/>
        </w:rPr>
      </w:pPr>
      <w:r>
        <w:rPr>
          <w:rFonts w:ascii="Arial" w:cs="Arial" w:eastAsia="Arial" w:hAnsi="Arial"/>
          <w:sz w:val="16"/>
          <w:szCs w:val="16"/>
          <w:color w:val="auto"/>
        </w:rPr>
        <w:t xml:space="preserve">preceding 12 months (or for such shorter period that the registrant was required to file such reports), and(2)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right="40"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7" w:lineRule="exact"/>
        <w:rPr>
          <w:sz w:val="24"/>
          <w:szCs w:val="24"/>
          <w:color w:val="auto"/>
        </w:rPr>
      </w:pPr>
    </w:p>
    <w:p>
      <w:pPr>
        <w:ind w:right="260" w:firstLine="324"/>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680" w:type="dxa"/>
        <w:tblCellMar>
          <w:top w:w="0" w:type="dxa"/>
          <w:left w:w="0" w:type="dxa"/>
          <w:bottom w:w="0" w:type="dxa"/>
          <w:right w:w="0" w:type="dxa"/>
        </w:tblCellMar>
      </w:tblPr>
      <w:tr>
        <w:trPr>
          <w:trHeight w:val="284"/>
        </w:trPr>
        <w:tc>
          <w:tcPr>
            <w:tcW w:w="2600" w:type="dxa"/>
            <w:vAlign w:val="bottom"/>
          </w:tcPr>
          <w:p>
            <w:pPr>
              <w:jc w:val="center"/>
              <w:ind w:right="759"/>
              <w:spacing w:after="0"/>
              <w:rPr>
                <w:sz w:val="20"/>
                <w:szCs w:val="20"/>
                <w:color w:val="auto"/>
              </w:rPr>
            </w:pPr>
            <w:r>
              <w:rPr>
                <w:rFonts w:ascii="Arial" w:cs="Arial" w:eastAsia="Arial" w:hAnsi="Arial"/>
                <w:sz w:val="16"/>
                <w:szCs w:val="16"/>
                <w:color w:val="auto"/>
                <w:w w:val="90"/>
              </w:rPr>
              <w:t>Large accelerated filer</w:t>
            </w:r>
          </w:p>
        </w:tc>
        <w:tc>
          <w:tcPr>
            <w:tcW w:w="19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6"/>
                <w:szCs w:val="16"/>
                <w:color w:val="auto"/>
                <w:w w:val="94"/>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7"/>
        </w:trPr>
        <w:tc>
          <w:tcPr>
            <w:tcW w:w="2600" w:type="dxa"/>
            <w:vAlign w:val="bottom"/>
          </w:tcPr>
          <w:p>
            <w:pPr>
              <w:jc w:val="center"/>
              <w:ind w:right="759"/>
              <w:spacing w:after="0"/>
              <w:rPr>
                <w:sz w:val="20"/>
                <w:szCs w:val="20"/>
                <w:color w:val="auto"/>
              </w:rPr>
            </w:pPr>
            <w:r>
              <w:rPr>
                <w:rFonts w:ascii="Arial" w:cs="Arial" w:eastAsia="Arial" w:hAnsi="Arial"/>
                <w:sz w:val="16"/>
                <w:szCs w:val="16"/>
                <w:color w:val="auto"/>
                <w:w w:val="92"/>
              </w:rPr>
              <w:t>Non-accelerated filer</w:t>
            </w:r>
          </w:p>
        </w:tc>
        <w:tc>
          <w:tcPr>
            <w:tcW w:w="19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6"/>
                <w:szCs w:val="16"/>
                <w:color w:val="auto"/>
                <w:w w:val="93"/>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00" w:type="dxa"/>
            <w:vAlign w:val="bottom"/>
          </w:tcPr>
          <w:p>
            <w:pPr>
              <w:jc w:val="center"/>
              <w:ind w:right="759"/>
              <w:spacing w:after="0"/>
              <w:rPr>
                <w:sz w:val="20"/>
                <w:szCs w:val="20"/>
                <w:color w:val="auto"/>
              </w:rPr>
            </w:pPr>
            <w:r>
              <w:rPr>
                <w:rFonts w:ascii="Arial" w:cs="Arial" w:eastAsia="Arial" w:hAnsi="Arial"/>
                <w:sz w:val="16"/>
                <w:szCs w:val="16"/>
                <w:color w:val="auto"/>
                <w:w w:val="92"/>
              </w:rPr>
              <w:t>Emerging growth company</w:t>
            </w:r>
          </w:p>
        </w:tc>
        <w:tc>
          <w:tcPr>
            <w:tcW w:w="19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67" w:lineRule="exact"/>
        <w:rPr>
          <w:sz w:val="24"/>
          <w:szCs w:val="24"/>
          <w:color w:val="auto"/>
        </w:rPr>
      </w:pPr>
    </w:p>
    <w:p>
      <w:pPr>
        <w:ind w:right="220" w:firstLine="324"/>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ind w:left="34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registrant has the following number of shares outstanding of each of the registrant’s classes of common stock as of May 4, 2023:</w:t>
      </w:r>
    </w:p>
    <w:p>
      <w:pPr>
        <w:spacing w:after="0" w:line="5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Class A Common Stock: 21,242,497</w:t>
      </w:r>
    </w:p>
    <w:p>
      <w:pPr>
        <w:spacing w:after="0" w:line="2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Class B Common Stock: 103,547,021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371475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type w:val="continuous"/>
        </w:sectPr>
      </w:pPr>
    </w:p>
    <w:bookmarkStart w:id="1" w:name="page2"/>
    <w:bookmarkEnd w:id="1"/>
    <w:p>
      <w:pPr>
        <w:jc w:val="center"/>
        <w:ind w:right="160"/>
        <w:spacing w:after="0"/>
        <w:rPr>
          <w:sz w:val="20"/>
          <w:szCs w:val="20"/>
          <w:color w:val="auto"/>
        </w:rPr>
      </w:pPr>
      <w:r>
        <w:rPr>
          <w:rFonts w:ascii="Arial" w:cs="Arial" w:eastAsia="Arial" w:hAnsi="Arial"/>
          <w:sz w:val="18"/>
          <w:szCs w:val="18"/>
          <w:b w:val="1"/>
          <w:bCs w:val="1"/>
          <w:color w:val="auto"/>
        </w:rPr>
        <w:t>SCIPLAY CORPORATION</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INDEX TO FINANCIAL INFORMATION</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AND OTHER INFORMATION</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THREE MONTHS ENDED MARCH 31,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3"/>
          </w:tcPr>
          <w:p>
            <w:pPr>
              <w:ind w:left="5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gridSpan w:val="3"/>
            <w:vMerge w:val="restart"/>
          </w:tcPr>
          <w:p>
            <w:pPr>
              <w:spacing w:after="0"/>
              <w:rPr>
                <w:sz w:val="20"/>
                <w:szCs w:val="20"/>
                <w:color w:val="auto"/>
              </w:rPr>
            </w:pPr>
            <w:r>
              <w:rPr>
                <w:rFonts w:ascii="Arial" w:cs="Arial" w:eastAsia="Arial" w:hAnsi="Arial"/>
                <w:sz w:val="18"/>
                <w:szCs w:val="18"/>
                <w:color w:val="0000FF"/>
              </w:rPr>
              <w:t>PART I.</w:t>
            </w:r>
          </w:p>
        </w:tc>
        <w:tc>
          <w:tcPr>
            <w:tcW w:w="8320" w:type="dxa"/>
            <w:vAlign w:val="bottom"/>
            <w:gridSpan w:val="18"/>
            <w:vMerge w:val="restart"/>
          </w:tcPr>
          <w:p>
            <w:pPr>
              <w:spacing w:after="0"/>
              <w:rPr>
                <w:sz w:val="20"/>
                <w:szCs w:val="20"/>
                <w:color w:val="auto"/>
              </w:rPr>
            </w:pPr>
            <w:r>
              <w:rPr>
                <w:rFonts w:ascii="Arial" w:cs="Arial" w:eastAsia="Arial" w:hAnsi="Arial"/>
                <w:sz w:val="18"/>
                <w:szCs w:val="18"/>
                <w:color w:val="0000FF"/>
              </w:rPr>
              <w:t>FINANCIAL INFORMATION</w:t>
            </w: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320" w:type="dxa"/>
            <w:vAlign w:val="bottom"/>
            <w:gridSpan w:val="18"/>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120" w:type="dxa"/>
            <w:vAlign w:val="bottom"/>
            <w:gridSpan w:val="21"/>
          </w:tcPr>
          <w:p>
            <w:pPr>
              <w:ind w:left="220"/>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color w:val="0000FF"/>
              </w:rPr>
              <w:t>Condensed Consolidated Financial Statements (unaudited)</w:t>
            </w:r>
          </w:p>
        </w:tc>
        <w:tc>
          <w:tcPr>
            <w:tcW w:w="720" w:type="dxa"/>
            <w:vAlign w:val="bottom"/>
            <w:gridSpan w:val="2"/>
          </w:tcPr>
          <w:p>
            <w:pPr>
              <w:jc w:val="center"/>
              <w:ind w:left="530"/>
              <w:spacing w:after="0"/>
              <w:rPr>
                <w:sz w:val="20"/>
                <w:szCs w:val="20"/>
                <w:color w:val="auto"/>
              </w:rPr>
            </w:pPr>
            <w:r>
              <w:rPr>
                <w:rFonts w:ascii="Arial" w:cs="Arial" w:eastAsia="Arial" w:hAnsi="Arial"/>
                <w:sz w:val="18"/>
                <w:szCs w:val="18"/>
                <w:color w:val="0000FF"/>
                <w:w w:val="99"/>
              </w:rPr>
              <w:t>6</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20" w:type="dxa"/>
            <w:vAlign w:val="bottom"/>
            <w:gridSpan w:val="18"/>
          </w:tcPr>
          <w:p>
            <w:pPr>
              <w:spacing w:after="0"/>
              <w:rPr>
                <w:sz w:val="20"/>
                <w:szCs w:val="20"/>
                <w:color w:val="auto"/>
              </w:rPr>
            </w:pPr>
            <w:r>
              <w:rPr>
                <w:rFonts w:ascii="Arial" w:cs="Arial" w:eastAsia="Arial" w:hAnsi="Arial"/>
                <w:sz w:val="18"/>
                <w:szCs w:val="18"/>
                <w:color w:val="0000FF"/>
              </w:rPr>
              <w:t>Consolidated Statements of Income for the Three Months Ended March 31, 2023 and 2022</w:t>
            </w:r>
          </w:p>
        </w:tc>
        <w:tc>
          <w:tcPr>
            <w:tcW w:w="720" w:type="dxa"/>
            <w:vAlign w:val="bottom"/>
            <w:gridSpan w:val="2"/>
          </w:tcPr>
          <w:p>
            <w:pPr>
              <w:jc w:val="center"/>
              <w:ind w:left="530"/>
              <w:spacing w:after="0"/>
              <w:rPr>
                <w:sz w:val="20"/>
                <w:szCs w:val="20"/>
                <w:color w:val="auto"/>
              </w:rPr>
            </w:pPr>
            <w:r>
              <w:rPr>
                <w:rFonts w:ascii="Arial" w:cs="Arial" w:eastAsia="Arial" w:hAnsi="Arial"/>
                <w:sz w:val="18"/>
                <w:szCs w:val="18"/>
                <w:color w:val="0000FF"/>
                <w:w w:val="99"/>
              </w:rPr>
              <w:t>6</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Consolidated Statements of Comprehensive Income for the Three Months Ended March 31, 2023 and 2022</w:t>
            </w:r>
          </w:p>
        </w:tc>
        <w:tc>
          <w:tcPr>
            <w:tcW w:w="62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7</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Condensed Consolidated Balance Sheets as of March 31, 2023 and December 31, 2022</w:t>
            </w:r>
          </w:p>
        </w:tc>
        <w:tc>
          <w:tcPr>
            <w:tcW w:w="206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8</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20" w:type="dxa"/>
            <w:vAlign w:val="bottom"/>
            <w:gridSpan w:val="18"/>
          </w:tcPr>
          <w:p>
            <w:pPr>
              <w:spacing w:after="0"/>
              <w:rPr>
                <w:sz w:val="20"/>
                <w:szCs w:val="20"/>
                <w:color w:val="auto"/>
              </w:rPr>
            </w:pPr>
            <w:r>
              <w:rPr>
                <w:rFonts w:ascii="Arial" w:cs="Arial" w:eastAsia="Arial" w:hAnsi="Arial"/>
                <w:sz w:val="18"/>
                <w:szCs w:val="18"/>
                <w:color w:val="0000FF"/>
                <w:w w:val="94"/>
              </w:rPr>
              <w:t>Consolidated Statements of Changes in Stockholders’ Equity for the Three Months Ended March 31, 2023 and</w:t>
            </w:r>
          </w:p>
        </w:tc>
        <w:tc>
          <w:tcPr>
            <w:tcW w:w="720" w:type="dxa"/>
            <w:vAlign w:val="bottom"/>
            <w:gridSpan w:val="2"/>
          </w:tcPr>
          <w:p>
            <w:pPr>
              <w:jc w:val="center"/>
              <w:ind w:left="530"/>
              <w:spacing w:after="0"/>
              <w:rPr>
                <w:sz w:val="20"/>
                <w:szCs w:val="20"/>
                <w:color w:val="auto"/>
              </w:rPr>
            </w:pPr>
            <w:r>
              <w:rPr>
                <w:rFonts w:ascii="Arial" w:cs="Arial" w:eastAsia="Arial" w:hAnsi="Arial"/>
                <w:sz w:val="18"/>
                <w:szCs w:val="18"/>
                <w:color w:val="0000FF"/>
                <w:w w:val="99"/>
              </w:rPr>
              <w:t>9</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79"/>
              </w:rPr>
              <w:t>2022</w:t>
            </w: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Condensed Consolidated Statements of Cash Flows for the Three Months Ended March 31, 2023 and 2022</w:t>
            </w:r>
          </w:p>
        </w:tc>
        <w:tc>
          <w:tcPr>
            <w:tcW w:w="64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10</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2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720" w:type="dxa"/>
            <w:vAlign w:val="bottom"/>
            <w:gridSpan w:val="2"/>
          </w:tcPr>
          <w:p>
            <w:pPr>
              <w:jc w:val="center"/>
              <w:ind w:left="450"/>
              <w:spacing w:after="0"/>
              <w:rPr>
                <w:sz w:val="20"/>
                <w:szCs w:val="20"/>
                <w:color w:val="auto"/>
              </w:rPr>
            </w:pPr>
            <w:r>
              <w:rPr>
                <w:rFonts w:ascii="Arial" w:cs="Arial" w:eastAsia="Arial" w:hAnsi="Arial"/>
                <w:sz w:val="18"/>
                <w:szCs w:val="18"/>
                <w:color w:val="0000FF"/>
                <w:w w:val="89"/>
              </w:rPr>
              <w:t>11</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9120" w:type="dxa"/>
            <w:vAlign w:val="bottom"/>
            <w:gridSpan w:val="21"/>
          </w:tcPr>
          <w:p>
            <w:pPr>
              <w:ind w:left="220"/>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color w:val="0000FF"/>
              </w:rPr>
              <w:t>Management's Discussion and Analysis of Financial Condition and Results of Operations</w:t>
            </w:r>
          </w:p>
        </w:tc>
        <w:tc>
          <w:tcPr>
            <w:tcW w:w="720" w:type="dxa"/>
            <w:vAlign w:val="bottom"/>
            <w:gridSpan w:val="2"/>
          </w:tcPr>
          <w:p>
            <w:pPr>
              <w:jc w:val="center"/>
              <w:ind w:left="450"/>
              <w:spacing w:after="0"/>
              <w:rPr>
                <w:sz w:val="20"/>
                <w:szCs w:val="20"/>
                <w:color w:val="auto"/>
              </w:rPr>
            </w:pPr>
            <w:r>
              <w:rPr>
                <w:rFonts w:ascii="Arial" w:cs="Arial" w:eastAsia="Arial" w:hAnsi="Arial"/>
                <w:sz w:val="18"/>
                <w:szCs w:val="18"/>
                <w:color w:val="0000FF"/>
                <w:w w:val="89"/>
              </w:rPr>
              <w:t>20</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120" w:type="dxa"/>
            <w:vAlign w:val="bottom"/>
            <w:gridSpan w:val="21"/>
          </w:tcPr>
          <w:p>
            <w:pPr>
              <w:ind w:left="220"/>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color w:val="0000FF"/>
              </w:rPr>
              <w:t>Quantitative and Qualitative Disclosures About Market Risk</w:t>
            </w:r>
          </w:p>
        </w:tc>
        <w:tc>
          <w:tcPr>
            <w:tcW w:w="720" w:type="dxa"/>
            <w:vAlign w:val="bottom"/>
            <w:gridSpan w:val="2"/>
          </w:tcPr>
          <w:p>
            <w:pPr>
              <w:jc w:val="center"/>
              <w:ind w:left="450"/>
              <w:spacing w:after="0"/>
              <w:rPr>
                <w:sz w:val="20"/>
                <w:szCs w:val="20"/>
                <w:color w:val="auto"/>
              </w:rPr>
            </w:pPr>
            <w:r>
              <w:rPr>
                <w:rFonts w:ascii="Arial" w:cs="Arial" w:eastAsia="Arial" w:hAnsi="Arial"/>
                <w:sz w:val="18"/>
                <w:szCs w:val="18"/>
                <w:color w:val="0000FF"/>
                <w:w w:val="89"/>
              </w:rPr>
              <w:t>26</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120" w:type="dxa"/>
            <w:vAlign w:val="bottom"/>
            <w:gridSpan w:val="21"/>
          </w:tcPr>
          <w:p>
            <w:pPr>
              <w:ind w:left="220"/>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color w:val="0000FF"/>
              </w:rPr>
              <w:t>Controls and Procedures</w:t>
            </w:r>
          </w:p>
        </w:tc>
        <w:tc>
          <w:tcPr>
            <w:tcW w:w="720" w:type="dxa"/>
            <w:vAlign w:val="bottom"/>
            <w:gridSpan w:val="2"/>
          </w:tcPr>
          <w:p>
            <w:pPr>
              <w:jc w:val="center"/>
              <w:ind w:left="450"/>
              <w:spacing w:after="0"/>
              <w:rPr>
                <w:sz w:val="20"/>
                <w:szCs w:val="20"/>
                <w:color w:val="auto"/>
              </w:rPr>
            </w:pPr>
            <w:r>
              <w:rPr>
                <w:rFonts w:ascii="Arial" w:cs="Arial" w:eastAsia="Arial" w:hAnsi="Arial"/>
                <w:sz w:val="18"/>
                <w:szCs w:val="18"/>
                <w:color w:val="0000FF"/>
                <w:w w:val="89"/>
              </w:rPr>
              <w:t>26</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0" w:type="dxa"/>
            <w:vAlign w:val="bottom"/>
            <w:gridSpan w:val="3"/>
          </w:tcPr>
          <w:p>
            <w:pPr>
              <w:spacing w:after="0"/>
              <w:rPr>
                <w:sz w:val="20"/>
                <w:szCs w:val="20"/>
                <w:color w:val="auto"/>
              </w:rPr>
            </w:pPr>
            <w:r>
              <w:rPr>
                <w:rFonts w:ascii="Arial" w:cs="Arial" w:eastAsia="Arial" w:hAnsi="Arial"/>
                <w:sz w:val="18"/>
                <w:szCs w:val="18"/>
                <w:color w:val="0000FF"/>
                <w:w w:val="91"/>
              </w:rPr>
              <w:t>PART II.</w:t>
            </w:r>
          </w:p>
        </w:tc>
        <w:tc>
          <w:tcPr>
            <w:tcW w:w="180" w:type="dxa"/>
            <w:vAlign w:val="bottom"/>
          </w:tcPr>
          <w:p>
            <w:pPr>
              <w:spacing w:after="0"/>
              <w:rPr>
                <w:sz w:val="24"/>
                <w:szCs w:val="24"/>
                <w:color w:val="auto"/>
              </w:rPr>
            </w:pPr>
          </w:p>
        </w:tc>
        <w:tc>
          <w:tcPr>
            <w:tcW w:w="832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120" w:type="dxa"/>
            <w:vAlign w:val="bottom"/>
            <w:gridSpan w:val="21"/>
          </w:tcPr>
          <w:p>
            <w:pPr>
              <w:ind w:left="220"/>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color w:val="0000FF"/>
              </w:rPr>
              <w:t>Legal Proceedings</w:t>
            </w:r>
          </w:p>
        </w:tc>
        <w:tc>
          <w:tcPr>
            <w:tcW w:w="720" w:type="dxa"/>
            <w:vAlign w:val="bottom"/>
            <w:gridSpan w:val="2"/>
          </w:tcPr>
          <w:p>
            <w:pPr>
              <w:jc w:val="center"/>
              <w:ind w:left="450"/>
              <w:spacing w:after="0"/>
              <w:rPr>
                <w:sz w:val="20"/>
                <w:szCs w:val="20"/>
                <w:color w:val="auto"/>
              </w:rPr>
            </w:pPr>
            <w:r>
              <w:rPr>
                <w:rFonts w:ascii="Arial" w:cs="Arial" w:eastAsia="Arial" w:hAnsi="Arial"/>
                <w:sz w:val="18"/>
                <w:szCs w:val="18"/>
                <w:color w:val="0000FF"/>
                <w:w w:val="89"/>
              </w:rPr>
              <w:t>26</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120" w:type="dxa"/>
            <w:vAlign w:val="bottom"/>
            <w:gridSpan w:val="21"/>
          </w:tcPr>
          <w:p>
            <w:pPr>
              <w:ind w:left="100"/>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color w:val="0000FF"/>
              </w:rPr>
              <w:t>Risk Factors</w:t>
            </w:r>
          </w:p>
        </w:tc>
        <w:tc>
          <w:tcPr>
            <w:tcW w:w="720" w:type="dxa"/>
            <w:vAlign w:val="bottom"/>
            <w:gridSpan w:val="2"/>
          </w:tcPr>
          <w:p>
            <w:pPr>
              <w:jc w:val="center"/>
              <w:ind w:left="450"/>
              <w:spacing w:after="0"/>
              <w:rPr>
                <w:sz w:val="20"/>
                <w:szCs w:val="20"/>
                <w:color w:val="auto"/>
              </w:rPr>
            </w:pPr>
            <w:r>
              <w:rPr>
                <w:rFonts w:ascii="Arial" w:cs="Arial" w:eastAsia="Arial" w:hAnsi="Arial"/>
                <w:sz w:val="18"/>
                <w:szCs w:val="18"/>
                <w:color w:val="0000FF"/>
                <w:w w:val="89"/>
              </w:rPr>
              <w:t>27</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120" w:type="dxa"/>
            <w:vAlign w:val="bottom"/>
            <w:gridSpan w:val="21"/>
          </w:tcPr>
          <w:p>
            <w:pPr>
              <w:ind w:left="220"/>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color w:val="0000FF"/>
              </w:rPr>
              <w:t>Unregistered Sales of Equity Securities and Use of Proceeds</w:t>
            </w:r>
          </w:p>
        </w:tc>
        <w:tc>
          <w:tcPr>
            <w:tcW w:w="720" w:type="dxa"/>
            <w:vAlign w:val="bottom"/>
            <w:gridSpan w:val="2"/>
          </w:tcPr>
          <w:p>
            <w:pPr>
              <w:jc w:val="center"/>
              <w:ind w:left="450"/>
              <w:spacing w:after="0"/>
              <w:rPr>
                <w:sz w:val="20"/>
                <w:szCs w:val="20"/>
                <w:color w:val="auto"/>
              </w:rPr>
            </w:pPr>
            <w:r>
              <w:rPr>
                <w:rFonts w:ascii="Arial" w:cs="Arial" w:eastAsia="Arial" w:hAnsi="Arial"/>
                <w:sz w:val="18"/>
                <w:szCs w:val="18"/>
                <w:color w:val="0000FF"/>
                <w:w w:val="89"/>
              </w:rPr>
              <w:t>27</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120" w:type="dxa"/>
            <w:vAlign w:val="bottom"/>
            <w:gridSpan w:val="21"/>
          </w:tcPr>
          <w:p>
            <w:pPr>
              <w:ind w:left="220"/>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color w:val="0000FF"/>
              </w:rPr>
              <w:t>Defaults Upon Senior Securities</w:t>
            </w:r>
          </w:p>
        </w:tc>
        <w:tc>
          <w:tcPr>
            <w:tcW w:w="720" w:type="dxa"/>
            <w:vAlign w:val="bottom"/>
            <w:gridSpan w:val="2"/>
          </w:tcPr>
          <w:p>
            <w:pPr>
              <w:jc w:val="center"/>
              <w:ind w:left="450"/>
              <w:spacing w:after="0"/>
              <w:rPr>
                <w:sz w:val="20"/>
                <w:szCs w:val="20"/>
                <w:color w:val="auto"/>
              </w:rPr>
            </w:pPr>
            <w:r>
              <w:rPr>
                <w:rFonts w:ascii="Arial" w:cs="Arial" w:eastAsia="Arial" w:hAnsi="Arial"/>
                <w:sz w:val="18"/>
                <w:szCs w:val="18"/>
                <w:color w:val="0000FF"/>
                <w:w w:val="89"/>
              </w:rPr>
              <w:t>27</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6020" w:type="dxa"/>
            <w:vAlign w:val="bottom"/>
            <w:gridSpan w:val="10"/>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9120" w:type="dxa"/>
            <w:vAlign w:val="bottom"/>
            <w:gridSpan w:val="21"/>
          </w:tcPr>
          <w:p>
            <w:pPr>
              <w:ind w:left="220"/>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color w:val="0000FF"/>
              </w:rPr>
              <w:t>Mine Safety Disclosures</w:t>
            </w:r>
          </w:p>
        </w:tc>
        <w:tc>
          <w:tcPr>
            <w:tcW w:w="720" w:type="dxa"/>
            <w:vAlign w:val="bottom"/>
            <w:gridSpan w:val="2"/>
          </w:tcPr>
          <w:p>
            <w:pPr>
              <w:jc w:val="center"/>
              <w:ind w:left="450"/>
              <w:spacing w:after="0"/>
              <w:rPr>
                <w:sz w:val="20"/>
                <w:szCs w:val="20"/>
                <w:color w:val="auto"/>
              </w:rPr>
            </w:pPr>
            <w:r>
              <w:rPr>
                <w:rFonts w:ascii="Arial" w:cs="Arial" w:eastAsia="Arial" w:hAnsi="Arial"/>
                <w:sz w:val="18"/>
                <w:szCs w:val="18"/>
                <w:color w:val="0000FF"/>
                <w:w w:val="89"/>
              </w:rPr>
              <w:t>27</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580" w:type="dxa"/>
            <w:vAlign w:val="bottom"/>
            <w:gridSpan w:val="13"/>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9120" w:type="dxa"/>
            <w:vAlign w:val="bottom"/>
            <w:gridSpan w:val="21"/>
          </w:tcPr>
          <w:p>
            <w:pPr>
              <w:ind w:left="220"/>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color w:val="0000FF"/>
              </w:rPr>
              <w:t>Other Information</w:t>
            </w:r>
          </w:p>
        </w:tc>
        <w:tc>
          <w:tcPr>
            <w:tcW w:w="720" w:type="dxa"/>
            <w:vAlign w:val="bottom"/>
            <w:gridSpan w:val="2"/>
          </w:tcPr>
          <w:p>
            <w:pPr>
              <w:jc w:val="center"/>
              <w:ind w:left="450"/>
              <w:spacing w:after="0"/>
              <w:rPr>
                <w:sz w:val="20"/>
                <w:szCs w:val="20"/>
                <w:color w:val="auto"/>
              </w:rPr>
            </w:pPr>
            <w:r>
              <w:rPr>
                <w:rFonts w:ascii="Arial" w:cs="Arial" w:eastAsia="Arial" w:hAnsi="Arial"/>
                <w:sz w:val="18"/>
                <w:szCs w:val="18"/>
                <w:color w:val="0000FF"/>
                <w:w w:val="89"/>
              </w:rPr>
              <w:t>27</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40" w:type="dxa"/>
            <w:vAlign w:val="bottom"/>
            <w:gridSpan w:val="14"/>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9120" w:type="dxa"/>
            <w:vAlign w:val="bottom"/>
            <w:gridSpan w:val="21"/>
          </w:tcPr>
          <w:p>
            <w:pPr>
              <w:ind w:left="220"/>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color w:val="0000FF"/>
              </w:rPr>
              <w:t>Exhibits</w:t>
            </w:r>
          </w:p>
        </w:tc>
        <w:tc>
          <w:tcPr>
            <w:tcW w:w="720" w:type="dxa"/>
            <w:vAlign w:val="bottom"/>
            <w:gridSpan w:val="2"/>
          </w:tcPr>
          <w:p>
            <w:pPr>
              <w:jc w:val="center"/>
              <w:ind w:left="450"/>
              <w:spacing w:after="0"/>
              <w:rPr>
                <w:sz w:val="20"/>
                <w:szCs w:val="20"/>
                <w:color w:val="auto"/>
              </w:rPr>
            </w:pPr>
            <w:r>
              <w:rPr>
                <w:rFonts w:ascii="Arial" w:cs="Arial" w:eastAsia="Arial" w:hAnsi="Arial"/>
                <w:sz w:val="18"/>
                <w:szCs w:val="18"/>
                <w:color w:val="0000FF"/>
                <w:w w:val="89"/>
              </w:rPr>
              <w:t>28</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80" w:top="769" w:right="6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8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COVID-19 pandemic and any resulting social, political, economic and financial complications;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players;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of growth in total consumer spending on social gaming, including social casino gaming;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platforms and our ability to track data on those platforms;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launch and enhance games that attract and retain a significant number of paying players;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in international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small percentage of our players for nearly all of our revenue;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and offer games that keep pace with, changing technology and evolving industry standards;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44"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optional purchases of coins, chips and bingo cards (collectively referred to as “coins, chips and cards”) to supplement the availability of periodically offered free coins, chips and cards;</w:t>
      </w:r>
    </w:p>
    <w:p>
      <w:pPr>
        <w:spacing w:after="0" w:line="10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additional financing and restrictions and covenants in debt agreements, including those that could result in acceleration of the maturity of our indebtedness;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discontinuation or replacement of the London Interbank Offer Rate, which may adversely affect interest rates;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our results due to seasonality and other factors;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skilled employees with creative and technical backgrounds;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international economic and industry conditions, including increases in benchmark interest rates and the effects of inflation;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perception of our response to environmental, social and governance issues;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the elimination of, our share repurchase program;</w:t>
      </w:r>
    </w:p>
    <w:p>
      <w:pPr>
        <w:spacing w:after="0" w:line="144"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the intellectual property rights of Light &amp; Wonder, Inc. (“Light &amp; Wonder”, “L&amp;W” and “Parent”) and other third parties, including the third-party intellectual property rights licensed to Light &amp; Wonder, under our intellectual property license agreement (“IP License Agreement”) with our Parent;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protection of our proprietary information and intellectual property, inability to license third-party intellectual property and the intellectual property rights of others;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and integrity of our games and systems;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breaches, cyber-attacks or other privacy or data security incidents, challenges or disruptions;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or failures in information technology and other systems;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revenue due to unauthorized methods of playing our games;</w:t>
      </w:r>
    </w:p>
    <w:p>
      <w:pPr>
        <w:sectPr>
          <w:pgSz w:w="11900" w:h="16838" w:orient="portrait"/>
          <w:cols w:equalWidth="0" w:num="1">
            <w:col w:w="11220"/>
          </w:cols>
          <w:pgMar w:left="320" w:top="109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3" w:name="page4"/>
    <w:bookmarkEnd w:id="3"/>
    <w:p>
      <w:pPr>
        <w:ind w:left="660" w:right="140" w:hanging="328"/>
        <w:spacing w:after="0" w:line="30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legal and regulatory restrictions on our business, including 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spacing w:after="0" w:line="89" w:lineRule="exact"/>
        <w:rPr>
          <w:rFonts w:ascii="Arial" w:cs="Arial" w:eastAsia="Arial" w:hAnsi="Arial"/>
          <w:sz w:val="16"/>
          <w:szCs w:val="16"/>
          <w:color w:val="auto"/>
        </w:rPr>
      </w:pPr>
    </w:p>
    <w:p>
      <w:pPr>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laws and government regulations, both foreign and domestic, including those relating to our Parent and to data privacy and security, including with respect to the collection, storage, use, transmission, sharing and protection of personal information and other consumer data, and those laws and regulations that affect companies conducting business on the internet, including ours;</w:t>
      </w:r>
    </w:p>
    <w:p>
      <w:pPr>
        <w:spacing w:after="0" w:line="102" w:lineRule="exact"/>
        <w:rPr>
          <w:rFonts w:ascii="Arial" w:cs="Arial" w:eastAsia="Arial" w:hAnsi="Arial"/>
          <w:sz w:val="18"/>
          <w:szCs w:val="18"/>
          <w:color w:val="auto"/>
        </w:rPr>
      </w:pPr>
    </w:p>
    <w:p>
      <w:pPr>
        <w:ind w:left="660" w:right="8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continuing evolution of the scope of data privacy and security regulations, and our belief that the adoption of increasingly restrictive regulations in this area is likely within the U.S. and other jurisdictions;</w:t>
      </w:r>
    </w:p>
    <w:p>
      <w:pPr>
        <w:spacing w:after="0" w:line="102"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foreign operations, including the complexity of foreign laws, regulations and markets; the uncertainty of enforcement of remedies in foreign jurisdictions; the effect of currency exchange rate fluctuations; the impact of foreign labor laws and disputes; the ability to attract and retain key personnel in foreign jurisdictions; the economic, tax and regulatory policies of local governments; and compliance with applicable anti-money laundering, anti-bribery and anti-corruption laws;</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influence of certain stockholders, including decisions that may conflict with the interests of other stockholders;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some or all of the anticipated benefits of being a standalone public company;</w:t>
      </w:r>
    </w:p>
    <w:p>
      <w:pPr>
        <w:spacing w:after="0" w:line="15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distributions from SciPlay Parent Company, LLC (“SciPlay Parent LLC”) to pay our taxes and expenses, including substantial payments we will be required to make under the Tax Receivable Agreement (the “TRA”);</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establish and maintain adequate internal control over financial reporting;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157"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and other liabilities relating to our business, including litigation and liabilities relating to consumer protection, gambling-related matters, employee matters, alleged service and system malfunctions, alleged intellectual property infringement and claims relating to our contracts, licenses and strategic investments;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complete acquisitions and integrate businesses successfully;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pursue and execute new business initiatives;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of future growth that will place significant demands on our management and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and health crises that disrupt our operations or those of our providers or suppliers;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or tax rulings, or the examination of our tax positions;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levels of insurance coverage against claims;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certain key providers.</w:t>
      </w:r>
    </w:p>
    <w:p>
      <w:pPr>
        <w:spacing w:after="0" w:line="14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Additional information regarding risks and uncertainties and other factors that could cause actual results to differ materially from those contemplated in forward-looking statements is included from time to time in our filings with the SEC, including the Company’s current reports on Form 8-K, quarterly reports on Form 10-Q and annual reports on Form 10-K, including the latest annual report filed with the SEC on March 1, 2023 (“2022 Form 10-K”) (including under the headings “Forward Looking Statements” and “Risk Factors”).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spacing w:after="0" w:line="110"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This Quarterly Report on Form 10-Q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 w:name="page5"/>
    <w:bookmarkEnd w:id="4"/>
    <w:p>
      <w:pPr>
        <w:spacing w:after="0" w:line="293" w:lineRule="auto"/>
        <w:rPr>
          <w:sz w:val="20"/>
          <w:szCs w:val="20"/>
          <w:color w:val="auto"/>
        </w:rPr>
      </w:pPr>
      <w:r>
        <w:rPr>
          <w:rFonts w:ascii="Arial" w:cs="Arial" w:eastAsia="Arial" w:hAnsi="Arial"/>
          <w:sz w:val="16"/>
          <w:szCs w:val="16"/>
          <w:color w:val="auto"/>
        </w:rPr>
        <w:t>accurate, it is not independently verified by us and we do not make any representation as to the accuracy of that information. In general, we believe there is less publicly available information concerning international social gaming industries than the same industries in the U.S. Some data is also based on our good faith estimates, which are derived from our review of internal surveys or data, as well as the independent sources referenced above. Assumptions and estimates of our and our industry's future performance are necessarily subject to a high degree of uncertainty and risk due to a variety of factors, including those described under “Risk Factors” in Part II, Item 1A of this Quarterly Report on Form 10-Q and Part I, Item 1A “Risk Factors” in our 2022 Form 10-K. These and other factors could cause future performance to differ materially from our assumptions and estimates.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Due to rounding, certain numbers presented herein may not precisely recalculate.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SCIPLAY CORPORATION</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Three Months Ended</w:t>
            </w:r>
          </w:p>
        </w:tc>
      </w:tr>
      <w:tr>
        <w:trPr>
          <w:trHeight w:val="219"/>
        </w:trPr>
        <w:tc>
          <w:tcPr>
            <w:tcW w:w="8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Borders>
              <w:bottom w:val="single" w:sz="8" w:color="auto"/>
            </w:tcBorders>
          </w:tcPr>
          <w:p>
            <w:pPr>
              <w:spacing w:after="0"/>
              <w:rPr>
                <w:sz w:val="19"/>
                <w:szCs w:val="19"/>
                <w:color w:val="auto"/>
              </w:rPr>
            </w:pPr>
          </w:p>
        </w:tc>
      </w:tr>
      <w:tr>
        <w:trPr>
          <w:trHeight w:val="210"/>
        </w:trPr>
        <w:tc>
          <w:tcPr>
            <w:tcW w:w="88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w w:val="95"/>
              </w:rPr>
              <w:t>2022</w:t>
            </w:r>
          </w:p>
        </w:tc>
      </w:tr>
      <w:tr>
        <w:trPr>
          <w:trHeight w:val="22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29"/>
        </w:trPr>
        <w:tc>
          <w:tcPr>
            <w:tcW w:w="88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8800" w:type="dxa"/>
            <w:vAlign w:val="bottom"/>
            <w:shd w:val="clear" w:color="auto" w:fill="CCEEFF"/>
          </w:tcPr>
          <w:p>
            <w:pPr>
              <w:ind w:left="8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29"/>
        </w:trPr>
        <w:tc>
          <w:tcPr>
            <w:tcW w:w="8800" w:type="dxa"/>
            <w:vAlign w:val="bottom"/>
          </w:tcPr>
          <w:p>
            <w:pPr>
              <w:ind w:left="8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8800" w:type="dxa"/>
            <w:vAlign w:val="bottom"/>
            <w:shd w:val="clear" w:color="auto" w:fill="CCEEFF"/>
          </w:tcPr>
          <w:p>
            <w:pPr>
              <w:ind w:left="8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8800" w:type="dxa"/>
            <w:vAlign w:val="bottom"/>
          </w:tcPr>
          <w:p>
            <w:pPr>
              <w:ind w:left="8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8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8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Restructuring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88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before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8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8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income attributable to the noncontrolling interest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48"/>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attributable to SciPlay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attributable to SciPlay per share: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r>
      <w:tr>
        <w:trPr>
          <w:trHeight w:val="223"/>
        </w:trPr>
        <w:tc>
          <w:tcPr>
            <w:tcW w:w="8800" w:type="dxa"/>
            <w:vAlign w:val="bottom"/>
          </w:tcPr>
          <w:p>
            <w:pPr>
              <w:ind w:left="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8"/>
        </w:trPr>
        <w:tc>
          <w:tcPr>
            <w:tcW w:w="8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used in per share calculation: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8800" w:type="dxa"/>
            <w:vAlign w:val="bottom"/>
          </w:tcPr>
          <w:p>
            <w:pPr>
              <w:ind w:left="80"/>
              <w:spacing w:after="0"/>
              <w:rPr>
                <w:sz w:val="20"/>
                <w:szCs w:val="20"/>
                <w:color w:val="auto"/>
              </w:rPr>
            </w:pPr>
            <w:r>
              <w:rPr>
                <w:rFonts w:ascii="Arial" w:cs="Arial" w:eastAsia="Arial" w:hAnsi="Arial"/>
                <w:sz w:val="18"/>
                <w:szCs w:val="18"/>
                <w:color w:val="auto"/>
              </w:rPr>
              <w:t>Basic shares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8"/>
        </w:trPr>
        <w:tc>
          <w:tcPr>
            <w:tcW w:w="8800" w:type="dxa"/>
            <w:vAlign w:val="bottom"/>
          </w:tcPr>
          <w:p>
            <w:pPr>
              <w:ind w:left="80"/>
              <w:spacing w:after="0"/>
              <w:rPr>
                <w:sz w:val="20"/>
                <w:szCs w:val="20"/>
                <w:color w:val="auto"/>
              </w:rPr>
            </w:pPr>
            <w:r>
              <w:rPr>
                <w:rFonts w:ascii="Arial" w:cs="Arial" w:eastAsia="Arial" w:hAnsi="Arial"/>
                <w:sz w:val="18"/>
                <w:szCs w:val="18"/>
                <w:color w:val="auto"/>
              </w:rPr>
              <w:t>Diluted shares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-143510</wp:posOffset>
            </wp:positionV>
            <wp:extent cx="710628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200" w:hanging="154"/>
        <w:spacing w:after="0" w:line="207" w:lineRule="auto"/>
        <w:tabs>
          <w:tab w:leader="none" w:pos="2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Excludes depreciation and amortization.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SCIPLAY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r>
      <w:tr>
        <w:trPr>
          <w:trHeight w:val="219"/>
        </w:trPr>
        <w:tc>
          <w:tcPr>
            <w:tcW w:w="87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6"/>
                <w:szCs w:val="16"/>
                <w:b w:val="1"/>
                <w:bCs w:val="1"/>
                <w:color w:val="auto"/>
              </w:rPr>
              <w:t>March 31,</w:t>
            </w:r>
          </w:p>
        </w:tc>
        <w:tc>
          <w:tcPr>
            <w:tcW w:w="420" w:type="dxa"/>
            <w:vAlign w:val="bottom"/>
            <w:tcBorders>
              <w:bottom w:val="single" w:sz="8" w:color="auto"/>
            </w:tcBorders>
          </w:tcPr>
          <w:p>
            <w:pPr>
              <w:spacing w:after="0"/>
              <w:rPr>
                <w:sz w:val="19"/>
                <w:szCs w:val="19"/>
                <w:color w:val="auto"/>
              </w:rPr>
            </w:pPr>
          </w:p>
        </w:tc>
      </w:tr>
      <w:tr>
        <w:trPr>
          <w:trHeight w:val="210"/>
        </w:trPr>
        <w:tc>
          <w:tcPr>
            <w:tcW w:w="87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r>
      <w:tr>
        <w:trPr>
          <w:trHeight w:val="22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41.8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32.0</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8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translation loss, net of tax</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w:t>
            </w: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40.3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30.4</w:t>
            </w:r>
          </w:p>
        </w:tc>
      </w:tr>
      <w:tr>
        <w:trPr>
          <w:trHeight w:val="230"/>
        </w:trPr>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Comprehensive income attributable to the noncontrolling interest</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35.1</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26.3</w:t>
            </w:r>
          </w:p>
        </w:tc>
      </w:tr>
      <w:tr>
        <w:trPr>
          <w:trHeight w:val="196"/>
        </w:trPr>
        <w:tc>
          <w:tcPr>
            <w:tcW w:w="8700" w:type="dxa"/>
            <w:vAlign w:val="bottom"/>
          </w:tcPr>
          <w:p>
            <w:pPr>
              <w:ind w:left="20"/>
              <w:spacing w:after="0" w:line="196" w:lineRule="exact"/>
              <w:rPr>
                <w:sz w:val="20"/>
                <w:szCs w:val="20"/>
                <w:color w:val="auto"/>
              </w:rPr>
            </w:pPr>
            <w:r>
              <w:rPr>
                <w:rFonts w:ascii="Arial" w:cs="Arial" w:eastAsia="Arial" w:hAnsi="Arial"/>
                <w:sz w:val="18"/>
                <w:szCs w:val="18"/>
                <w:color w:val="auto"/>
              </w:rPr>
              <w:t>Comprehensive income attributable to SciPlay</w:t>
            </w:r>
          </w:p>
        </w:tc>
        <w:tc>
          <w:tcPr>
            <w:tcW w:w="780" w:type="dxa"/>
            <w:vAlign w:val="bottom"/>
            <w:tcBorders>
              <w:bottom w:val="single" w:sz="8" w:color="auto"/>
            </w:tcBorders>
          </w:tcPr>
          <w:p>
            <w:pPr>
              <w:jc w:val="right"/>
              <w:ind w:right="575"/>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573"/>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8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93"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SCIPLAY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par value)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2023</w:t>
            </w:r>
          </w:p>
        </w:tc>
        <w:tc>
          <w:tcPr>
            <w:tcW w:w="180" w:type="dxa"/>
            <w:vAlign w:val="bottom"/>
          </w:tcPr>
          <w:p>
            <w:pPr>
              <w:spacing w:after="0"/>
              <w:rPr>
                <w:sz w:val="18"/>
                <w:szCs w:val="18"/>
                <w:color w:val="auto"/>
              </w:rPr>
            </w:pPr>
          </w:p>
        </w:tc>
        <w:tc>
          <w:tcPr>
            <w:tcW w:w="164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 2022</w:t>
            </w:r>
          </w:p>
        </w:tc>
      </w:tr>
      <w:tr>
        <w:trPr>
          <w:trHeight w:val="212"/>
        </w:trPr>
        <w:tc>
          <w:tcPr>
            <w:tcW w:w="326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4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r>
      <w:tr>
        <w:trPr>
          <w:trHeight w:val="257"/>
        </w:trPr>
        <w:tc>
          <w:tcPr>
            <w:tcW w:w="326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4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29"/>
        </w:trPr>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Prepaid expenses and other current assets</w:t>
            </w:r>
          </w:p>
        </w:tc>
        <w:tc>
          <w:tcPr>
            <w:tcW w:w="4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326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389.1</w:t>
            </w: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57"/>
        </w:trPr>
        <w:tc>
          <w:tcPr>
            <w:tcW w:w="3260" w:type="dxa"/>
            <w:vAlign w:val="bottom"/>
          </w:tcPr>
          <w:p>
            <w:pPr>
              <w:ind w:left="20"/>
              <w:spacing w:after="0"/>
              <w:rPr>
                <w:sz w:val="20"/>
                <w:szCs w:val="20"/>
                <w:color w:val="auto"/>
              </w:rPr>
            </w:pPr>
            <w:r>
              <w:rPr>
                <w:rFonts w:ascii="Arial" w:cs="Arial" w:eastAsia="Arial" w:hAnsi="Arial"/>
                <w:sz w:val="18"/>
                <w:szCs w:val="18"/>
                <w:color w:val="auto"/>
              </w:rPr>
              <w:t>Intangible assets and software, net</w:t>
            </w:r>
          </w:p>
        </w:tc>
        <w:tc>
          <w:tcPr>
            <w:tcW w:w="4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57"/>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4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29"/>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4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3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r>
    </w:tbl>
    <w:p>
      <w:pPr>
        <w:ind w:left="180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-121920</wp:posOffset>
            </wp:positionV>
            <wp:extent cx="2383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ectPr>
          <w:pgSz w:w="11900" w:h="16838" w:orient="portrait"/>
          <w:cols w:equalWidth="0" w:num="1">
            <w:col w:w="11240"/>
          </w:cols>
          <w:pgMar w:left="320" w:top="891" w:right="339" w:bottom="1440" w:gutter="0" w:footer="0" w:header="0"/>
        </w:sectPr>
      </w:pPr>
    </w:p>
    <w:p>
      <w:pPr>
        <w:spacing w:after="0" w:line="23" w:lineRule="exact"/>
        <w:rPr>
          <w:sz w:val="20"/>
          <w:szCs w:val="20"/>
          <w:color w:val="auto"/>
        </w:rPr>
      </w:pPr>
    </w:p>
    <w:p>
      <w:pPr>
        <w:ind w:left="100"/>
        <w:spacing w:after="0"/>
        <w:tabs>
          <w:tab w:leader="none" w:pos="7480" w:val="left"/>
        </w:tabs>
        <w:rPr>
          <w:sz w:val="20"/>
          <w:szCs w:val="20"/>
          <w:color w:val="auto"/>
        </w:rPr>
      </w:pPr>
      <w:r>
        <w:rPr>
          <w:rFonts w:ascii="Arial" w:cs="Arial" w:eastAsia="Arial" w:hAnsi="Arial"/>
          <w:sz w:val="18"/>
          <w:szCs w:val="18"/>
          <w:color w:val="auto"/>
        </w:rPr>
        <w:t>Accounts payable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Accrued liabilities</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Due to affiliate</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 under TRA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liabilities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 (see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equity:</w:t>
      </w:r>
    </w:p>
    <w:p>
      <w:pPr>
        <w:spacing w:after="0" w:line="23" w:lineRule="exact"/>
        <w:rPr>
          <w:sz w:val="20"/>
          <w:szCs w:val="20"/>
          <w:color w:val="auto"/>
        </w:rPr>
      </w:pPr>
    </w:p>
    <w:p>
      <w:pPr>
        <w:ind w:left="180" w:right="740"/>
        <w:spacing w:after="0" w:line="272" w:lineRule="auto"/>
        <w:rPr>
          <w:sz w:val="20"/>
          <w:szCs w:val="20"/>
          <w:color w:val="auto"/>
        </w:rPr>
      </w:pPr>
      <w:r>
        <w:rPr>
          <w:rFonts w:ascii="Arial" w:cs="Arial" w:eastAsia="Arial" w:hAnsi="Arial"/>
          <w:sz w:val="16"/>
          <w:szCs w:val="16"/>
          <w:color w:val="auto"/>
        </w:rPr>
        <w:t>Class A common stock, par value $0.001 per share, 625.0 shares authorized, 25.2 and 24.9 shares issued, 21.9 and 22.1 shares outstanding as of March 31, 2023 and December 31, 2022, respectively</w:t>
      </w:r>
    </w:p>
    <w:p>
      <w:pPr>
        <w:spacing w:after="0" w:line="1" w:lineRule="exact"/>
        <w:rPr>
          <w:sz w:val="20"/>
          <w:szCs w:val="20"/>
          <w:color w:val="auto"/>
        </w:rPr>
      </w:pPr>
    </w:p>
    <w:p>
      <w:pPr>
        <w:ind w:left="180" w:right="700"/>
        <w:spacing w:after="0" w:line="235" w:lineRule="auto"/>
        <w:rPr>
          <w:sz w:val="20"/>
          <w:szCs w:val="20"/>
          <w:color w:val="auto"/>
        </w:rPr>
      </w:pPr>
      <w:r>
        <w:rPr>
          <w:rFonts w:ascii="Arial" w:cs="Arial" w:eastAsia="Arial" w:hAnsi="Arial"/>
          <w:sz w:val="18"/>
          <w:szCs w:val="18"/>
          <w:color w:val="auto"/>
        </w:rPr>
        <w:t>Class B common stock, par value $0.001 per share, 130.0 shares authorized, 103.5 shares issued and outstanding as of March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Retained earnings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Treasury stock, at cost, 3.2 and 2.7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other comprehensive (loss) income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20.7</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56"/>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37.9</w:t>
            </w:r>
          </w:p>
        </w:tc>
        <w:tc>
          <w:tcPr>
            <w:tcW w:w="7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56"/>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62.6</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60.2</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26.0</w:t>
            </w:r>
          </w:p>
        </w:tc>
        <w:tc>
          <w:tcPr>
            <w:tcW w:w="7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24"/>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151.2</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150.1</w:t>
            </w:r>
          </w:p>
        </w:tc>
      </w:tr>
      <w:tr>
        <w:trPr>
          <w:trHeight w:val="877"/>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80.5</w:t>
            </w: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56"/>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80.1</w:t>
            </w:r>
          </w:p>
        </w:tc>
        <w:tc>
          <w:tcPr>
            <w:tcW w:w="7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30"/>
        </w:trPr>
        <w:tc>
          <w:tcPr>
            <w:tcW w:w="580" w:type="dxa"/>
            <w:vAlign w:val="bottom"/>
          </w:tcPr>
          <w:p>
            <w:pPr>
              <w:jc w:val="right"/>
              <w:ind w:right="50"/>
              <w:spacing w:after="0"/>
              <w:rPr>
                <w:sz w:val="20"/>
                <w:szCs w:val="20"/>
                <w:color w:val="auto"/>
              </w:rPr>
            </w:pPr>
            <w:r>
              <w:rPr>
                <w:rFonts w:ascii="Arial" w:cs="Arial" w:eastAsia="Arial" w:hAnsi="Arial"/>
                <w:sz w:val="18"/>
                <w:szCs w:val="18"/>
                <w:color w:val="auto"/>
                <w:w w:val="89"/>
              </w:rPr>
              <w:t>(45.3)</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30"/>
        </w:trPr>
        <w:tc>
          <w:tcPr>
            <w:tcW w:w="58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1" w:lineRule="exact"/>
        <w:rPr>
          <w:sz w:val="20"/>
          <w:szCs w:val="20"/>
          <w:color w:val="auto"/>
        </w:rPr>
      </w:pPr>
    </w:p>
    <w:p>
      <w:pPr>
        <w:sectPr>
          <w:pgSz w:w="11900" w:h="16838" w:orient="portrait"/>
          <w:cols w:equalWidth="0" w:num="2">
            <w:col w:w="8120" w:space="720"/>
            <w:col w:w="240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480" w:type="dxa"/>
            <w:vAlign w:val="bottom"/>
          </w:tcPr>
          <w:p>
            <w:pPr>
              <w:ind w:left="360"/>
              <w:spacing w:after="0"/>
              <w:rPr>
                <w:sz w:val="20"/>
                <w:szCs w:val="20"/>
                <w:color w:val="auto"/>
              </w:rPr>
            </w:pPr>
            <w:r>
              <w:rPr>
                <w:rFonts w:ascii="Arial" w:cs="Arial" w:eastAsia="Arial" w:hAnsi="Arial"/>
                <w:sz w:val="18"/>
                <w:szCs w:val="18"/>
                <w:color w:val="auto"/>
              </w:rPr>
              <w:t>Total SciPlay stockholders’ equity</w:t>
            </w:r>
          </w:p>
        </w:tc>
        <w:tc>
          <w:tcPr>
            <w:tcW w:w="7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w:t>
            </w:r>
          </w:p>
        </w:tc>
      </w:tr>
      <w:tr>
        <w:trPr>
          <w:trHeight w:val="25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7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r>
      <w:tr>
        <w:trPr>
          <w:trHeight w:val="22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655.3</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w:t>
            </w:r>
          </w:p>
        </w:tc>
      </w:tr>
      <w:tr>
        <w:trPr>
          <w:trHeight w:val="248"/>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SCIPLAY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60" w:type="dxa"/>
            <w:vAlign w:val="bottom"/>
          </w:tcPr>
          <w:p>
            <w:pPr>
              <w:spacing w:after="0"/>
              <w:rPr>
                <w:sz w:val="15"/>
                <w:szCs w:val="15"/>
                <w:color w:val="auto"/>
              </w:rPr>
            </w:pPr>
          </w:p>
        </w:tc>
        <w:tc>
          <w:tcPr>
            <w:tcW w:w="1580" w:type="dxa"/>
            <w:vAlign w:val="bottom"/>
            <w:gridSpan w:val="5"/>
          </w:tcPr>
          <w:p>
            <w:pPr>
              <w:ind w:left="180"/>
              <w:spacing w:after="0"/>
              <w:rPr>
                <w:sz w:val="20"/>
                <w:szCs w:val="20"/>
                <w:color w:val="auto"/>
              </w:rPr>
            </w:pPr>
            <w:r>
              <w:rPr>
                <w:rFonts w:ascii="Arial" w:cs="Arial" w:eastAsia="Arial" w:hAnsi="Arial"/>
                <w:sz w:val="15"/>
                <w:szCs w:val="15"/>
                <w:b w:val="1"/>
                <w:bCs w:val="1"/>
                <w:color w:val="auto"/>
              </w:rPr>
              <w:t>Class A common</w:t>
            </w:r>
          </w:p>
        </w:tc>
        <w:tc>
          <w:tcPr>
            <w:tcW w:w="1560" w:type="dxa"/>
            <w:vAlign w:val="bottom"/>
            <w:gridSpan w:val="5"/>
          </w:tcPr>
          <w:p>
            <w:pPr>
              <w:ind w:left="180"/>
              <w:spacing w:after="0"/>
              <w:rPr>
                <w:sz w:val="20"/>
                <w:szCs w:val="20"/>
                <w:color w:val="auto"/>
              </w:rPr>
            </w:pPr>
            <w:r>
              <w:rPr>
                <w:rFonts w:ascii="Arial" w:cs="Arial" w:eastAsia="Arial" w:hAnsi="Arial"/>
                <w:sz w:val="15"/>
                <w:szCs w:val="15"/>
                <w:b w:val="1"/>
                <w:bCs w:val="1"/>
                <w:color w:val="auto"/>
              </w:rPr>
              <w:t>Class B common</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Accumulated</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080" w:type="dxa"/>
            <w:vAlign w:val="bottom"/>
            <w:gridSpan w:val="3"/>
          </w:tcPr>
          <w:p>
            <w:pPr>
              <w:jc w:val="right"/>
              <w:ind w:right="104"/>
              <w:spacing w:after="0" w:line="149" w:lineRule="exact"/>
              <w:rPr>
                <w:sz w:val="20"/>
                <w:szCs w:val="20"/>
                <w:color w:val="auto"/>
              </w:rPr>
            </w:pPr>
            <w:r>
              <w:rPr>
                <w:rFonts w:ascii="Arial" w:cs="Arial" w:eastAsia="Arial" w:hAnsi="Arial"/>
                <w:sz w:val="15"/>
                <w:szCs w:val="15"/>
                <w:b w:val="1"/>
                <w:bCs w:val="1"/>
                <w:color w:val="auto"/>
              </w:rPr>
              <w:t>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84"/>
              <w:spacing w:after="0" w:line="149" w:lineRule="exact"/>
              <w:rPr>
                <w:sz w:val="20"/>
                <w:szCs w:val="20"/>
                <w:color w:val="auto"/>
              </w:rPr>
            </w:pPr>
            <w:r>
              <w:rPr>
                <w:rFonts w:ascii="Arial" w:cs="Arial" w:eastAsia="Arial" w:hAnsi="Arial"/>
                <w:sz w:val="15"/>
                <w:szCs w:val="15"/>
                <w:b w:val="1"/>
                <w:bCs w:val="1"/>
                <w:color w:val="auto"/>
              </w:rPr>
              <w:t>stock</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Additional</w:t>
            </w:r>
          </w:p>
        </w:tc>
        <w:tc>
          <w:tcPr>
            <w:tcW w:w="860" w:type="dxa"/>
            <w:vAlign w:val="bottom"/>
            <w:gridSpan w:val="3"/>
            <w:vMerge w:val="restart"/>
          </w:tcPr>
          <w:p>
            <w:pPr>
              <w:ind w:left="100"/>
              <w:spacing w:after="0"/>
              <w:rPr>
                <w:sz w:val="20"/>
                <w:szCs w:val="20"/>
                <w:color w:val="auto"/>
              </w:rPr>
            </w:pPr>
            <w:r>
              <w:rPr>
                <w:rFonts w:ascii="Arial" w:cs="Arial" w:eastAsia="Arial" w:hAnsi="Arial"/>
                <w:sz w:val="15"/>
                <w:szCs w:val="15"/>
                <w:b w:val="1"/>
                <w:bCs w:val="1"/>
                <w:color w:val="auto"/>
              </w:rPr>
              <w:t>Retained</w:t>
            </w:r>
          </w:p>
        </w:tc>
        <w:tc>
          <w:tcPr>
            <w:tcW w:w="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Treasury</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90"/>
              </w:rPr>
              <w:t>other</w:t>
            </w:r>
          </w:p>
        </w:tc>
        <w:tc>
          <w:tcPr>
            <w:tcW w:w="8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Noncontrolling</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5"/>
                <w:szCs w:val="15"/>
                <w:b w:val="1"/>
                <w:bCs w:val="1"/>
                <w:color w:val="auto"/>
                <w:w w:val="89"/>
              </w:rPr>
              <w:t>comprehensive</w:t>
            </w: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60" w:type="dxa"/>
            <w:vAlign w:val="bottom"/>
          </w:tcPr>
          <w:p>
            <w:pPr>
              <w:spacing w:after="0"/>
              <w:rPr>
                <w:sz w:val="4"/>
                <w:szCs w:val="4"/>
                <w:color w:val="auto"/>
              </w:rPr>
            </w:pPr>
          </w:p>
        </w:tc>
        <w:tc>
          <w:tcPr>
            <w:tcW w:w="7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Shares</w:t>
            </w:r>
          </w:p>
        </w:tc>
        <w:tc>
          <w:tcPr>
            <w:tcW w:w="80" w:type="dxa"/>
            <w:vAlign w:val="bottom"/>
            <w:vMerge w:val="restart"/>
          </w:tcPr>
          <w:p>
            <w:pPr>
              <w:spacing w:after="0"/>
              <w:rPr>
                <w:sz w:val="4"/>
                <w:szCs w:val="4"/>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100" w:type="dxa"/>
            <w:vAlign w:val="bottom"/>
            <w:vMerge w:val="restart"/>
          </w:tcPr>
          <w:p>
            <w:pPr>
              <w:spacing w:after="0"/>
              <w:rPr>
                <w:sz w:val="4"/>
                <w:szCs w:val="4"/>
                <w:color w:val="auto"/>
              </w:rPr>
            </w:pPr>
          </w:p>
        </w:tc>
        <w:tc>
          <w:tcPr>
            <w:tcW w:w="68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Shares</w:t>
            </w:r>
          </w:p>
        </w:tc>
        <w:tc>
          <w:tcPr>
            <w:tcW w:w="100" w:type="dxa"/>
            <w:vAlign w:val="bottom"/>
            <w:vMerge w:val="restart"/>
          </w:tcPr>
          <w:p>
            <w:pPr>
              <w:spacing w:after="0"/>
              <w:rPr>
                <w:sz w:val="4"/>
                <w:szCs w:val="4"/>
                <w:color w:val="auto"/>
              </w:rPr>
            </w:pPr>
          </w:p>
        </w:tc>
        <w:tc>
          <w:tcPr>
            <w:tcW w:w="700" w:type="dxa"/>
            <w:vAlign w:val="bottom"/>
            <w:gridSpan w:val="2"/>
            <w:vMerge w:val="restart"/>
          </w:tcPr>
          <w:p>
            <w:pPr>
              <w:jc w:val="right"/>
              <w:ind w:right="24"/>
              <w:spacing w:after="0"/>
              <w:rPr>
                <w:sz w:val="20"/>
                <w:szCs w:val="20"/>
                <w:color w:val="auto"/>
              </w:rPr>
            </w:pPr>
            <w:r>
              <w:rPr>
                <w:rFonts w:ascii="Arial" w:cs="Arial" w:eastAsia="Arial" w:hAnsi="Arial"/>
                <w:sz w:val="15"/>
                <w:szCs w:val="15"/>
                <w:b w:val="1"/>
                <w:bCs w:val="1"/>
                <w:color w:val="auto"/>
              </w:rPr>
              <w:t>Amount</w:t>
            </w:r>
          </w:p>
        </w:tc>
        <w:tc>
          <w:tcPr>
            <w:tcW w:w="8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200"/>
        </w:trPr>
        <w:tc>
          <w:tcPr>
            <w:tcW w:w="20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3"/>
              </w:rPr>
              <w:t>paid-in capital</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86"/>
              </w:rPr>
              <w:t>earnings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stock</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8"/>
              </w:rPr>
              <w:t>income (loss)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interest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December 31, 2022</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22.1</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74.6</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506.4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615.6</w:t>
            </w:r>
          </w:p>
        </w:tc>
        <w:tc>
          <w:tcPr>
            <w:tcW w:w="0" w:type="dxa"/>
            <w:vAlign w:val="bottom"/>
          </w:tcPr>
          <w:p>
            <w:pPr>
              <w:spacing w:after="0"/>
              <w:rPr>
                <w:sz w:val="1"/>
                <w:szCs w:val="1"/>
                <w:color w:val="auto"/>
              </w:rPr>
            </w:pPr>
          </w:p>
        </w:tc>
      </w:tr>
      <w:tr>
        <w:trPr>
          <w:trHeight w:val="192"/>
        </w:trPr>
        <w:tc>
          <w:tcPr>
            <w:tcW w:w="20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50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41.8</w:t>
            </w:r>
          </w:p>
        </w:tc>
        <w:tc>
          <w:tcPr>
            <w:tcW w:w="0" w:type="dxa"/>
            <w:vAlign w:val="bottom"/>
          </w:tcPr>
          <w:p>
            <w:pPr>
              <w:spacing w:after="0"/>
              <w:rPr>
                <w:sz w:val="1"/>
                <w:szCs w:val="1"/>
                <w:color w:val="auto"/>
              </w:rPr>
            </w:pPr>
          </w:p>
        </w:tc>
      </w:tr>
      <w:tr>
        <w:trPr>
          <w:trHeight w:val="207"/>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98"/>
        </w:trPr>
        <w:tc>
          <w:tcPr>
            <w:tcW w:w="2060" w:type="dxa"/>
            <w:vAlign w:val="bottom"/>
          </w:tcPr>
          <w:p>
            <w:pPr>
              <w:ind w:left="20"/>
              <w:spacing w:after="0"/>
              <w:rPr>
                <w:sz w:val="20"/>
                <w:szCs w:val="20"/>
                <w:color w:val="auto"/>
              </w:rPr>
            </w:pPr>
            <w:r>
              <w:rPr>
                <w:rFonts w:ascii="Arial" w:cs="Arial" w:eastAsia="Arial" w:hAnsi="Arial"/>
                <w:sz w:val="15"/>
                <w:szCs w:val="15"/>
                <w:color w:val="auto"/>
              </w:rPr>
              <w:t>Settlement of liability awards</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Vesting of RSUs, net of tax</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withholdings and other</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49"/>
        </w:trPr>
        <w:tc>
          <w:tcPr>
            <w:tcW w:w="2060" w:type="dxa"/>
            <w:vAlign w:val="bottom"/>
          </w:tcPr>
          <w:p>
            <w:pPr>
              <w:ind w:left="20"/>
              <w:spacing w:after="0" w:line="149" w:lineRule="exact"/>
              <w:rPr>
                <w:sz w:val="20"/>
                <w:szCs w:val="20"/>
                <w:color w:val="auto"/>
              </w:rPr>
            </w:pPr>
            <w:r>
              <w:rPr>
                <w:rFonts w:ascii="Arial" w:cs="Arial" w:eastAsia="Arial" w:hAnsi="Arial"/>
                <w:sz w:val="15"/>
                <w:szCs w:val="15"/>
                <w:color w:val="auto"/>
              </w:rPr>
              <w:t>Distributions to Parent and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60" w:type="dxa"/>
            <w:vAlign w:val="bottom"/>
          </w:tcPr>
          <w:p>
            <w:pPr>
              <w:ind w:left="20"/>
              <w:spacing w:after="0"/>
              <w:rPr>
                <w:sz w:val="20"/>
                <w:szCs w:val="20"/>
                <w:color w:val="auto"/>
              </w:rPr>
            </w:pPr>
            <w:r>
              <w:rPr>
                <w:rFonts w:ascii="Arial" w:cs="Arial" w:eastAsia="Arial" w:hAnsi="Arial"/>
                <w:sz w:val="15"/>
                <w:szCs w:val="15"/>
                <w:color w:val="auto"/>
              </w:rPr>
              <w:t>affiliates, net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7"/>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Repurchases of stock</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03"/>
        </w:trPr>
        <w:tc>
          <w:tcPr>
            <w:tcW w:w="2060" w:type="dxa"/>
            <w:vAlign w:val="bottom"/>
          </w:tcPr>
          <w:p>
            <w:pPr>
              <w:ind w:left="20"/>
              <w:spacing w:after="0" w:line="203" w:lineRule="exact"/>
              <w:rPr>
                <w:sz w:val="20"/>
                <w:szCs w:val="20"/>
                <w:color w:val="auto"/>
              </w:rPr>
            </w:pPr>
            <w:r>
              <w:rPr>
                <w:rFonts w:ascii="Arial" w:cs="Arial" w:eastAsia="Arial" w:hAnsi="Arial"/>
                <w:sz w:val="15"/>
                <w:szCs w:val="15"/>
                <w:color w:val="auto"/>
              </w:rPr>
              <w:t>Economic rebalancing</w:t>
            </w:r>
            <w:r>
              <w:rPr>
                <w:rFonts w:ascii="Arial" w:cs="Arial" w:eastAsia="Arial" w:hAnsi="Arial"/>
                <w:sz w:val="19"/>
                <w:szCs w:val="19"/>
                <w:color w:val="auto"/>
                <w:vertAlign w:val="superscript"/>
              </w:rPr>
              <w:t>(1)</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Currency translation</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69"/>
        </w:trPr>
        <w:tc>
          <w:tcPr>
            <w:tcW w:w="206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March 31, 2023</w:t>
            </w:r>
          </w:p>
        </w:tc>
        <w:tc>
          <w:tcPr>
            <w:tcW w:w="700" w:type="dxa"/>
            <w:vAlign w:val="bottom"/>
          </w:tcPr>
          <w:p>
            <w:pPr>
              <w:jc w:val="right"/>
              <w:ind w:right="4"/>
              <w:spacing w:after="0" w:line="169" w:lineRule="exact"/>
              <w:rPr>
                <w:sz w:val="20"/>
                <w:szCs w:val="20"/>
                <w:color w:val="auto"/>
              </w:rPr>
            </w:pPr>
            <w:r>
              <w:rPr>
                <w:rFonts w:ascii="Arial" w:cs="Arial" w:eastAsia="Arial" w:hAnsi="Arial"/>
                <w:sz w:val="15"/>
                <w:szCs w:val="15"/>
                <w:color w:val="auto"/>
              </w:rPr>
              <w:t>21.9</w:t>
            </w:r>
          </w:p>
        </w:tc>
        <w:tc>
          <w:tcPr>
            <w:tcW w:w="80" w:type="dxa"/>
            <w:vAlign w:val="bottom"/>
          </w:tcPr>
          <w:p>
            <w:pPr>
              <w:spacing w:after="0"/>
              <w:rPr>
                <w:sz w:val="14"/>
                <w:szCs w:val="14"/>
                <w:color w:val="auto"/>
              </w:rPr>
            </w:pPr>
          </w:p>
        </w:tc>
        <w:tc>
          <w:tcPr>
            <w:tcW w:w="300" w:type="dxa"/>
            <w:vAlign w:val="bottom"/>
          </w:tcPr>
          <w:p>
            <w:pPr>
              <w:jc w:val="right"/>
              <w:ind w:right="144"/>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103.5</w:t>
            </w:r>
          </w:p>
        </w:tc>
        <w:tc>
          <w:tcPr>
            <w:tcW w:w="100" w:type="dxa"/>
            <w:vAlign w:val="bottom"/>
          </w:tcPr>
          <w:p>
            <w:pPr>
              <w:spacing w:after="0"/>
              <w:rPr>
                <w:sz w:val="14"/>
                <w:szCs w:val="14"/>
                <w:color w:val="auto"/>
              </w:rPr>
            </w:pPr>
          </w:p>
        </w:tc>
        <w:tc>
          <w:tcPr>
            <w:tcW w:w="280" w:type="dxa"/>
            <w:vAlign w:val="bottom"/>
          </w:tcPr>
          <w:p>
            <w:pPr>
              <w:jc w:val="right"/>
              <w:ind w:right="124"/>
              <w:spacing w:after="0" w:line="169" w:lineRule="exact"/>
              <w:rPr>
                <w:sz w:val="20"/>
                <w:szCs w:val="20"/>
                <w:color w:val="auto"/>
              </w:rPr>
            </w:pPr>
            <w:r>
              <w:rPr>
                <w:rFonts w:ascii="Arial" w:cs="Arial" w:eastAsia="Arial" w:hAnsi="Arial"/>
                <w:sz w:val="15"/>
                <w:szCs w:val="15"/>
                <w:color w:val="auto"/>
                <w:w w:val="71"/>
              </w:rPr>
              <w:t>$</w:t>
            </w:r>
          </w:p>
        </w:tc>
        <w:tc>
          <w:tcPr>
            <w:tcW w:w="420" w:type="dxa"/>
            <w:vAlign w:val="bottom"/>
          </w:tcPr>
          <w:p>
            <w:pPr>
              <w:jc w:val="right"/>
              <w:ind w:right="4"/>
              <w:spacing w:after="0" w:line="169" w:lineRule="exact"/>
              <w:rPr>
                <w:sz w:val="20"/>
                <w:szCs w:val="20"/>
                <w:color w:val="auto"/>
              </w:rPr>
            </w:pPr>
            <w:r>
              <w:rPr>
                <w:rFonts w:ascii="Arial" w:cs="Arial" w:eastAsia="Arial" w:hAnsi="Arial"/>
                <w:sz w:val="15"/>
                <w:szCs w:val="15"/>
                <w:color w:val="auto"/>
              </w:rPr>
              <w:t>0.1</w:t>
            </w:r>
          </w:p>
        </w:tc>
        <w:tc>
          <w:tcPr>
            <w:tcW w:w="80" w:type="dxa"/>
            <w:vAlign w:val="bottom"/>
          </w:tcPr>
          <w:p>
            <w:pPr>
              <w:spacing w:after="0"/>
              <w:rPr>
                <w:sz w:val="14"/>
                <w:szCs w:val="14"/>
                <w:color w:val="auto"/>
              </w:rPr>
            </w:pPr>
          </w:p>
        </w:tc>
        <w:tc>
          <w:tcPr>
            <w:tcW w:w="120" w:type="dxa"/>
            <w:vAlign w:val="bottom"/>
          </w:tcPr>
          <w:p>
            <w:pPr>
              <w:ind w:left="20"/>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80.5</w:t>
            </w:r>
          </w:p>
        </w:tc>
        <w:tc>
          <w:tcPr>
            <w:tcW w:w="8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line="169" w:lineRule="exact"/>
              <w:rPr>
                <w:sz w:val="20"/>
                <w:szCs w:val="20"/>
                <w:color w:val="auto"/>
              </w:rPr>
            </w:pPr>
            <w:r>
              <w:rPr>
                <w:rFonts w:ascii="Arial" w:cs="Arial" w:eastAsia="Arial" w:hAnsi="Arial"/>
                <w:sz w:val="15"/>
                <w:szCs w:val="15"/>
                <w:color w:val="auto"/>
              </w:rPr>
              <w:t>80.1</w:t>
            </w:r>
          </w:p>
        </w:tc>
        <w:tc>
          <w:tcPr>
            <w:tcW w:w="8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(45.3)</w:t>
            </w:r>
          </w:p>
        </w:tc>
        <w:tc>
          <w:tcPr>
            <w:tcW w:w="8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Pr>
          <w:p>
            <w:pPr>
              <w:ind w:left="760"/>
              <w:spacing w:after="0" w:line="169" w:lineRule="exact"/>
              <w:rPr>
                <w:sz w:val="20"/>
                <w:szCs w:val="20"/>
                <w:color w:val="auto"/>
              </w:rPr>
            </w:pPr>
            <w:r>
              <w:rPr>
                <w:rFonts w:ascii="Arial" w:cs="Arial" w:eastAsia="Arial" w:hAnsi="Arial"/>
                <w:sz w:val="15"/>
                <w:szCs w:val="15"/>
                <w:color w:val="auto"/>
              </w:rPr>
              <w:t>(0.7)</w:t>
            </w:r>
          </w:p>
        </w:tc>
        <w:tc>
          <w:tcPr>
            <w:tcW w:w="8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540.6</w:t>
            </w:r>
          </w:p>
        </w:tc>
        <w:tc>
          <w:tcPr>
            <w:tcW w:w="8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tcPr>
          <w:p>
            <w:pPr>
              <w:jc w:val="right"/>
              <w:ind w:right="4"/>
              <w:spacing w:after="0" w:line="169" w:lineRule="exact"/>
              <w:rPr>
                <w:sz w:val="20"/>
                <w:szCs w:val="20"/>
                <w:color w:val="auto"/>
              </w:rPr>
            </w:pPr>
            <w:r>
              <w:rPr>
                <w:rFonts w:ascii="Arial" w:cs="Arial" w:eastAsia="Arial" w:hAnsi="Arial"/>
                <w:sz w:val="15"/>
                <w:szCs w:val="15"/>
                <w:color w:val="auto"/>
              </w:rPr>
              <w:t>655.3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40" w:hanging="127"/>
        <w:spacing w:after="0"/>
        <w:tabs>
          <w:tab w:leader="none" w:pos="140" w:val="left"/>
        </w:tabs>
        <w:numPr>
          <w:ilvl w:val="0"/>
          <w:numId w:val="6"/>
        </w:numPr>
        <w:rPr>
          <w:rFonts w:ascii="Arial" w:cs="Arial" w:eastAsia="Arial" w:hAnsi="Arial"/>
          <w:sz w:val="15"/>
          <w:szCs w:val="15"/>
          <w:color w:val="auto"/>
          <w:vertAlign w:val="superscript"/>
        </w:rPr>
      </w:pPr>
      <w:r>
        <w:rPr>
          <w:rFonts w:ascii="Arial" w:cs="Arial" w:eastAsia="Arial" w:hAnsi="Arial"/>
          <w:sz w:val="11"/>
          <w:szCs w:val="11"/>
          <w:color w:val="auto"/>
        </w:rPr>
        <w:t>SciPlay Parent LLC equity attributable to SciPlay Corporation and the noncontrolling interest holders is rebalanced, as needed, to reflect changes in LLC Unit ownership.</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60" w:type="dxa"/>
            <w:vAlign w:val="bottom"/>
          </w:tcPr>
          <w:p>
            <w:pPr>
              <w:spacing w:after="0"/>
              <w:rPr>
                <w:sz w:val="15"/>
                <w:szCs w:val="15"/>
                <w:color w:val="auto"/>
              </w:rPr>
            </w:pPr>
          </w:p>
        </w:tc>
        <w:tc>
          <w:tcPr>
            <w:tcW w:w="1580" w:type="dxa"/>
            <w:vAlign w:val="bottom"/>
            <w:gridSpan w:val="5"/>
          </w:tcPr>
          <w:p>
            <w:pPr>
              <w:ind w:left="180"/>
              <w:spacing w:after="0"/>
              <w:rPr>
                <w:sz w:val="20"/>
                <w:szCs w:val="20"/>
                <w:color w:val="auto"/>
              </w:rPr>
            </w:pPr>
            <w:r>
              <w:rPr>
                <w:rFonts w:ascii="Arial" w:cs="Arial" w:eastAsia="Arial" w:hAnsi="Arial"/>
                <w:sz w:val="15"/>
                <w:szCs w:val="15"/>
                <w:b w:val="1"/>
                <w:bCs w:val="1"/>
                <w:color w:val="auto"/>
              </w:rPr>
              <w:t>Class A common</w:t>
            </w:r>
          </w:p>
        </w:tc>
        <w:tc>
          <w:tcPr>
            <w:tcW w:w="1560" w:type="dxa"/>
            <w:vAlign w:val="bottom"/>
            <w:gridSpan w:val="5"/>
          </w:tcPr>
          <w:p>
            <w:pPr>
              <w:ind w:left="180"/>
              <w:spacing w:after="0"/>
              <w:rPr>
                <w:sz w:val="20"/>
                <w:szCs w:val="20"/>
                <w:color w:val="auto"/>
              </w:rPr>
            </w:pPr>
            <w:r>
              <w:rPr>
                <w:rFonts w:ascii="Arial" w:cs="Arial" w:eastAsia="Arial" w:hAnsi="Arial"/>
                <w:sz w:val="15"/>
                <w:szCs w:val="15"/>
                <w:b w:val="1"/>
                <w:bCs w:val="1"/>
                <w:color w:val="auto"/>
              </w:rPr>
              <w:t>Class B common</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Accumulated</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080" w:type="dxa"/>
            <w:vAlign w:val="bottom"/>
            <w:gridSpan w:val="3"/>
          </w:tcPr>
          <w:p>
            <w:pPr>
              <w:jc w:val="right"/>
              <w:ind w:right="104"/>
              <w:spacing w:after="0" w:line="149" w:lineRule="exact"/>
              <w:rPr>
                <w:sz w:val="20"/>
                <w:szCs w:val="20"/>
                <w:color w:val="auto"/>
              </w:rPr>
            </w:pPr>
            <w:r>
              <w:rPr>
                <w:rFonts w:ascii="Arial" w:cs="Arial" w:eastAsia="Arial" w:hAnsi="Arial"/>
                <w:sz w:val="15"/>
                <w:szCs w:val="15"/>
                <w:b w:val="1"/>
                <w:bCs w:val="1"/>
                <w:color w:val="auto"/>
              </w:rPr>
              <w:t>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84"/>
              <w:spacing w:after="0" w:line="149" w:lineRule="exact"/>
              <w:rPr>
                <w:sz w:val="20"/>
                <w:szCs w:val="20"/>
                <w:color w:val="auto"/>
              </w:rPr>
            </w:pPr>
            <w:r>
              <w:rPr>
                <w:rFonts w:ascii="Arial" w:cs="Arial" w:eastAsia="Arial" w:hAnsi="Arial"/>
                <w:sz w:val="15"/>
                <w:szCs w:val="15"/>
                <w:b w:val="1"/>
                <w:bCs w:val="1"/>
                <w:color w:val="auto"/>
              </w:rPr>
              <w:t>stock</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Additional</w:t>
            </w:r>
          </w:p>
        </w:tc>
        <w:tc>
          <w:tcPr>
            <w:tcW w:w="860" w:type="dxa"/>
            <w:vAlign w:val="bottom"/>
            <w:gridSpan w:val="3"/>
            <w:vMerge w:val="restart"/>
          </w:tcPr>
          <w:p>
            <w:pPr>
              <w:ind w:left="100"/>
              <w:spacing w:after="0"/>
              <w:rPr>
                <w:sz w:val="20"/>
                <w:szCs w:val="20"/>
                <w:color w:val="auto"/>
              </w:rPr>
            </w:pPr>
            <w:r>
              <w:rPr>
                <w:rFonts w:ascii="Arial" w:cs="Arial" w:eastAsia="Arial" w:hAnsi="Arial"/>
                <w:sz w:val="15"/>
                <w:szCs w:val="15"/>
                <w:b w:val="1"/>
                <w:bCs w:val="1"/>
                <w:color w:val="auto"/>
              </w:rPr>
              <w:t>Retained</w:t>
            </w:r>
          </w:p>
        </w:tc>
        <w:tc>
          <w:tcPr>
            <w:tcW w:w="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Treasury</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90"/>
              </w:rPr>
              <w:t>other</w:t>
            </w:r>
          </w:p>
        </w:tc>
        <w:tc>
          <w:tcPr>
            <w:tcW w:w="8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Noncontrolling</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5"/>
                <w:szCs w:val="15"/>
                <w:b w:val="1"/>
                <w:bCs w:val="1"/>
                <w:color w:val="auto"/>
                <w:w w:val="89"/>
              </w:rPr>
              <w:t>comprehensive</w:t>
            </w: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60" w:type="dxa"/>
            <w:vAlign w:val="bottom"/>
          </w:tcPr>
          <w:p>
            <w:pPr>
              <w:spacing w:after="0"/>
              <w:rPr>
                <w:sz w:val="4"/>
                <w:szCs w:val="4"/>
                <w:color w:val="auto"/>
              </w:rPr>
            </w:pPr>
          </w:p>
        </w:tc>
        <w:tc>
          <w:tcPr>
            <w:tcW w:w="7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Shares</w:t>
            </w:r>
          </w:p>
        </w:tc>
        <w:tc>
          <w:tcPr>
            <w:tcW w:w="80" w:type="dxa"/>
            <w:vAlign w:val="bottom"/>
            <w:vMerge w:val="restart"/>
          </w:tcPr>
          <w:p>
            <w:pPr>
              <w:spacing w:after="0"/>
              <w:rPr>
                <w:sz w:val="4"/>
                <w:szCs w:val="4"/>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100" w:type="dxa"/>
            <w:vAlign w:val="bottom"/>
            <w:vMerge w:val="restart"/>
          </w:tcPr>
          <w:p>
            <w:pPr>
              <w:spacing w:after="0"/>
              <w:rPr>
                <w:sz w:val="4"/>
                <w:szCs w:val="4"/>
                <w:color w:val="auto"/>
              </w:rPr>
            </w:pPr>
          </w:p>
        </w:tc>
        <w:tc>
          <w:tcPr>
            <w:tcW w:w="68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Shares</w:t>
            </w:r>
          </w:p>
        </w:tc>
        <w:tc>
          <w:tcPr>
            <w:tcW w:w="100" w:type="dxa"/>
            <w:vAlign w:val="bottom"/>
            <w:vMerge w:val="restart"/>
          </w:tcPr>
          <w:p>
            <w:pPr>
              <w:spacing w:after="0"/>
              <w:rPr>
                <w:sz w:val="4"/>
                <w:szCs w:val="4"/>
                <w:color w:val="auto"/>
              </w:rPr>
            </w:pPr>
          </w:p>
        </w:tc>
        <w:tc>
          <w:tcPr>
            <w:tcW w:w="700" w:type="dxa"/>
            <w:vAlign w:val="bottom"/>
            <w:gridSpan w:val="2"/>
            <w:vMerge w:val="restart"/>
          </w:tcPr>
          <w:p>
            <w:pPr>
              <w:jc w:val="right"/>
              <w:ind w:right="24"/>
              <w:spacing w:after="0"/>
              <w:rPr>
                <w:sz w:val="20"/>
                <w:szCs w:val="20"/>
                <w:color w:val="auto"/>
              </w:rPr>
            </w:pPr>
            <w:r>
              <w:rPr>
                <w:rFonts w:ascii="Arial" w:cs="Arial" w:eastAsia="Arial" w:hAnsi="Arial"/>
                <w:sz w:val="15"/>
                <w:szCs w:val="15"/>
                <w:b w:val="1"/>
                <w:bCs w:val="1"/>
                <w:color w:val="auto"/>
              </w:rPr>
              <w:t>Amount</w:t>
            </w:r>
          </w:p>
        </w:tc>
        <w:tc>
          <w:tcPr>
            <w:tcW w:w="8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200"/>
        </w:trPr>
        <w:tc>
          <w:tcPr>
            <w:tcW w:w="20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3"/>
              </w:rPr>
              <w:t>paid-in capital</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86"/>
              </w:rPr>
              <w:t>earnings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stock</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8"/>
              </w:rPr>
              <w:t>income (loss)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interest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December 31, 2021</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24.5</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52.2</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426.4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525.0</w:t>
            </w:r>
          </w:p>
        </w:tc>
        <w:tc>
          <w:tcPr>
            <w:tcW w:w="0" w:type="dxa"/>
            <w:vAlign w:val="bottom"/>
          </w:tcPr>
          <w:p>
            <w:pPr>
              <w:spacing w:after="0"/>
              <w:rPr>
                <w:sz w:val="1"/>
                <w:szCs w:val="1"/>
                <w:color w:val="auto"/>
              </w:rPr>
            </w:pPr>
          </w:p>
        </w:tc>
      </w:tr>
      <w:tr>
        <w:trPr>
          <w:trHeight w:val="192"/>
        </w:trPr>
        <w:tc>
          <w:tcPr>
            <w:tcW w:w="20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50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32.0</w:t>
            </w:r>
          </w:p>
        </w:tc>
        <w:tc>
          <w:tcPr>
            <w:tcW w:w="0" w:type="dxa"/>
            <w:vAlign w:val="bottom"/>
          </w:tcPr>
          <w:p>
            <w:pPr>
              <w:spacing w:after="0"/>
              <w:rPr>
                <w:sz w:val="1"/>
                <w:szCs w:val="1"/>
                <w:color w:val="auto"/>
              </w:rPr>
            </w:pPr>
          </w:p>
        </w:tc>
      </w:tr>
      <w:tr>
        <w:trPr>
          <w:trHeight w:val="207"/>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49"/>
        </w:trPr>
        <w:tc>
          <w:tcPr>
            <w:tcW w:w="2060" w:type="dxa"/>
            <w:vAlign w:val="bottom"/>
          </w:tcPr>
          <w:p>
            <w:pPr>
              <w:ind w:left="20"/>
              <w:spacing w:after="0" w:line="149" w:lineRule="exact"/>
              <w:rPr>
                <w:sz w:val="20"/>
                <w:szCs w:val="20"/>
                <w:color w:val="auto"/>
              </w:rPr>
            </w:pPr>
            <w:r>
              <w:rPr>
                <w:rFonts w:ascii="Arial" w:cs="Arial" w:eastAsia="Arial" w:hAnsi="Arial"/>
                <w:sz w:val="15"/>
                <w:szCs w:val="15"/>
                <w:color w:val="auto"/>
              </w:rPr>
              <w:t>Vesting of RSUs, net of tax</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60" w:type="dxa"/>
            <w:vAlign w:val="bottom"/>
          </w:tcPr>
          <w:p>
            <w:pPr>
              <w:ind w:left="20"/>
              <w:spacing w:after="0"/>
              <w:rPr>
                <w:sz w:val="20"/>
                <w:szCs w:val="20"/>
                <w:color w:val="auto"/>
              </w:rPr>
            </w:pPr>
            <w:r>
              <w:rPr>
                <w:rFonts w:ascii="Arial" w:cs="Arial" w:eastAsia="Arial" w:hAnsi="Arial"/>
                <w:sz w:val="15"/>
                <w:szCs w:val="15"/>
                <w:color w:val="auto"/>
              </w:rPr>
              <w:t>withholdings</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Distributions to Parent and</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affiliates, net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98"/>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Currency translation</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20"/>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March 31, 2022</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557.0</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91"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SCIPLAY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2460" w:type="dxa"/>
            <w:vAlign w:val="bottom"/>
            <w:gridSpan w:val="4"/>
          </w:tcPr>
          <w:p>
            <w:pPr>
              <w:jc w:val="right"/>
              <w:ind w:right="132"/>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8"/>
                <w:szCs w:val="18"/>
                <w:color w:val="auto"/>
              </w:rPr>
            </w:pPr>
          </w:p>
        </w:tc>
      </w:tr>
      <w:tr>
        <w:trPr>
          <w:trHeight w:val="219"/>
        </w:trPr>
        <w:tc>
          <w:tcPr>
            <w:tcW w:w="82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6"/>
                <w:szCs w:val="16"/>
                <w:b w:val="1"/>
                <w:bCs w:val="1"/>
                <w:color w:val="auto"/>
              </w:rPr>
              <w:t>March 31,</w:t>
            </w:r>
          </w:p>
        </w:tc>
        <w:tc>
          <w:tcPr>
            <w:tcW w:w="560" w:type="dxa"/>
            <w:vAlign w:val="bottom"/>
            <w:tcBorders>
              <w:bottom w:val="single" w:sz="8" w:color="auto"/>
            </w:tcBorders>
          </w:tcPr>
          <w:p>
            <w:pPr>
              <w:spacing w:after="0"/>
              <w:rPr>
                <w:sz w:val="19"/>
                <w:szCs w:val="19"/>
                <w:color w:val="auto"/>
              </w:rPr>
            </w:pPr>
          </w:p>
        </w:tc>
      </w:tr>
      <w:tr>
        <w:trPr>
          <w:trHeight w:val="210"/>
        </w:trPr>
        <w:tc>
          <w:tcPr>
            <w:tcW w:w="8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09"/>
        </w:trPr>
        <w:tc>
          <w:tcPr>
            <w:tcW w:w="82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8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expenditures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220" w:type="dxa"/>
            <w:vAlign w:val="bottom"/>
          </w:tcPr>
          <w:p>
            <w:pPr>
              <w:ind w:left="100"/>
              <w:spacing w:after="0"/>
              <w:rPr>
                <w:sz w:val="20"/>
                <w:szCs w:val="20"/>
                <w:color w:val="auto"/>
              </w:rPr>
            </w:pPr>
            <w:r>
              <w:rPr>
                <w:rFonts w:ascii="Arial" w:cs="Arial" w:eastAsia="Arial" w:hAnsi="Arial"/>
                <w:sz w:val="18"/>
                <w:szCs w:val="18"/>
                <w:color w:val="auto"/>
              </w:rPr>
              <w:t>Acquisition of business, net of cash acquired</w:t>
            </w:r>
          </w:p>
        </w:tc>
        <w:tc>
          <w:tcPr>
            <w:tcW w:w="9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(106.2)</w:t>
            </w: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(108.2)</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8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Payments on license obligations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220" w:type="dxa"/>
            <w:vAlign w:val="bottom"/>
          </w:tcPr>
          <w:p>
            <w:pPr>
              <w:ind w:left="100"/>
              <w:spacing w:after="0"/>
              <w:rPr>
                <w:sz w:val="20"/>
                <w:szCs w:val="20"/>
                <w:color w:val="auto"/>
              </w:rPr>
            </w:pPr>
            <w:r>
              <w:rPr>
                <w:rFonts w:ascii="Arial" w:cs="Arial" w:eastAsia="Arial" w:hAnsi="Arial"/>
                <w:sz w:val="18"/>
                <w:szCs w:val="18"/>
                <w:color w:val="auto"/>
              </w:rPr>
              <w:t>Purchases of treasury stock</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 to Light &amp; Wonder and affiliates, net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Taxes paid related to net share settlement of equity awards and other</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330.1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357.5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70"/>
        </w:trPr>
        <w:tc>
          <w:tcPr>
            <w:tcW w:w="8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Supplemental cash flow information:</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income taxes</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70"/>
        </w:trPr>
        <w:tc>
          <w:tcPr>
            <w:tcW w:w="8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non-cash transactions: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Non-cash additions to intangible assets related to license agreements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SCIPLAY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amounts in USD, table amounts in millions,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Nature of Operations</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SciPlay Corporation was formed as a Nevada corporation on November 30, 2018 as a subsidiary of Light &amp; Wonder, Inc. (“Light &amp; Wonder”, “L&amp;W” or “Parent”), for the purposes of completing a public offering and related transactions in order to carry on the business of SciPlay Parent LLC and its subsidiaries (collectively referred to as “SciPlay”, the “Company”, “we”, “us” and “our”). As the managing member of SciPlay Parent LLC, SciPlay operates and controls all of the business affairs of SciPlay Parent LLC and its subsidiaries.</w:t>
      </w:r>
    </w:p>
    <w:p>
      <w:pPr>
        <w:spacing w:after="0" w:line="200" w:lineRule="exact"/>
        <w:rPr>
          <w:sz w:val="20"/>
          <w:szCs w:val="20"/>
          <w:color w:val="auto"/>
        </w:rPr>
      </w:pPr>
    </w:p>
    <w:p>
      <w:pPr>
        <w:ind w:right="60" w:firstLine="648"/>
        <w:spacing w:after="0" w:line="262" w:lineRule="auto"/>
        <w:rPr>
          <w:sz w:val="20"/>
          <w:szCs w:val="20"/>
          <w:color w:val="auto"/>
        </w:rPr>
      </w:pPr>
      <w:r>
        <w:rPr>
          <w:rFonts w:ascii="Arial" w:cs="Arial" w:eastAsia="Arial" w:hAnsi="Arial"/>
          <w:sz w:val="17"/>
          <w:szCs w:val="17"/>
          <w:color w:val="auto"/>
        </w:rPr>
        <w:t xml:space="preserve">We develop, market and operate a portfolio of games played on various mobile and web platforms, including </w:t>
      </w:r>
      <w:r>
        <w:rPr>
          <w:rFonts w:ascii="Arial" w:cs="Arial" w:eastAsia="Arial" w:hAnsi="Arial"/>
          <w:sz w:val="17"/>
          <w:szCs w:val="17"/>
          <w:i w:val="1"/>
          <w:iCs w:val="1"/>
          <w:color w:val="auto"/>
        </w:rPr>
        <w:t>Jackpot Party® Casino, Quick Hit®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Slots, Gold Fish® Casino, Hot Shot Casino®, Bingo Showdown®, MONOPOLY® Slots, 88 Fortunes® Slots, Solitaire Pets™ Adventure </w:t>
      </w:r>
      <w:r>
        <w:rPr>
          <w:rFonts w:ascii="Arial" w:cs="Arial" w:eastAsia="Arial" w:hAnsi="Arial"/>
          <w:sz w:val="17"/>
          <w:szCs w:val="17"/>
          <w:color w:val="auto"/>
        </w:rPr>
        <w:t>and</w:t>
      </w:r>
      <w:r>
        <w:rPr>
          <w:rFonts w:ascii="Arial" w:cs="Arial" w:eastAsia="Arial" w:hAnsi="Arial"/>
          <w:sz w:val="17"/>
          <w:szCs w:val="17"/>
          <w:i w:val="1"/>
          <w:iCs w:val="1"/>
          <w:color w:val="auto"/>
        </w:rPr>
        <w:t xml:space="preserve"> Backgammon Live </w:t>
      </w:r>
      <w:r>
        <w:rPr>
          <w:rFonts w:ascii="Arial" w:cs="Arial" w:eastAsia="Arial" w:hAnsi="Arial"/>
          <w:sz w:val="17"/>
          <w:szCs w:val="17"/>
          <w:color w:val="auto"/>
        </w:rPr>
        <w:t>as well as other games in the hyper-casual space, such as</w:t>
      </w:r>
      <w:r>
        <w:rPr>
          <w:rFonts w:ascii="Arial" w:cs="Arial" w:eastAsia="Arial" w:hAnsi="Arial"/>
          <w:sz w:val="17"/>
          <w:szCs w:val="17"/>
          <w:i w:val="1"/>
          <w:iCs w:val="1"/>
          <w:color w:val="auto"/>
        </w:rPr>
        <w:t xml:space="preserve"> Candy Challenge 3D™</w:t>
      </w:r>
      <w:r>
        <w:rPr>
          <w:rFonts w:ascii="Arial" w:cs="Arial" w:eastAsia="Arial" w:hAnsi="Arial"/>
          <w:sz w:val="17"/>
          <w:szCs w:val="17"/>
          <w:color w:val="auto"/>
        </w:rPr>
        <w:t>,</w:t>
      </w:r>
      <w:r>
        <w:rPr>
          <w:rFonts w:ascii="Arial" w:cs="Arial" w:eastAsia="Arial" w:hAnsi="Arial"/>
          <w:sz w:val="17"/>
          <w:szCs w:val="17"/>
          <w:i w:val="1"/>
          <w:iCs w:val="1"/>
          <w:color w:val="auto"/>
        </w:rPr>
        <w:t xml:space="preserve"> Boss Life™ </w:t>
      </w:r>
      <w:r>
        <w:rPr>
          <w:rFonts w:ascii="Arial" w:cs="Arial" w:eastAsia="Arial" w:hAnsi="Arial"/>
          <w:sz w:val="17"/>
          <w:szCs w:val="17"/>
          <w:color w:val="auto"/>
        </w:rPr>
        <w:t>and</w:t>
      </w:r>
      <w:r>
        <w:rPr>
          <w:rFonts w:ascii="Arial" w:cs="Arial" w:eastAsia="Arial" w:hAnsi="Arial"/>
          <w:sz w:val="17"/>
          <w:szCs w:val="17"/>
          <w:i w:val="1"/>
          <w:iCs w:val="1"/>
          <w:color w:val="auto"/>
        </w:rPr>
        <w:t xml:space="preserve"> Deep Clean Inc.™. </w:t>
      </w:r>
      <w:r>
        <w:rPr>
          <w:rFonts w:ascii="Arial" w:cs="Arial" w:eastAsia="Arial" w:hAnsi="Arial"/>
          <w:sz w:val="17"/>
          <w:szCs w:val="17"/>
          <w:color w:val="auto"/>
        </w:rPr>
        <w:t>Our games are available in</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formats. We have one operating segment with one business activity, developing and monetizing games.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(“SEC”). All intercompany balances and transactions have been eliminated in consolidation.</w:t>
      </w:r>
    </w:p>
    <w:p>
      <w:pPr>
        <w:spacing w:after="0" w:line="21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the opinion of management, we have made all adjustments necessary to present fairly our consolidated statements of income, consolidated statements of comprehensive income, condensed consolidated balance sheets, consolidated statements of changes in stockholders’ equity and condensed consolidated statements of cash flows for the periods presented. Such adjustments are of a normal, recurring nature. These unaudited consolidated financial statements should be read in conjunction with the consolidated financial statements and related Notes included in our 2022 Form 10-K. Interim results of operations are not necessarily indicative of results of operations to be expected for a full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(“VIE”) and Consolidation</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sole material asset is our member’s interest in SciPlay Parent LLC. In accordance with the Operating Agreement of SciPlay Parent LLC (the “Operating Agreement”), we have all management powers over the business and affairs of SciPlay Parent LLC and to conduct, direct and exercise full control over the activities of SciPlay Parent LLC. Class A common stock does not hold majority voting rights but holds 100% of the economic interest in the Company, which results in SciPlay Parent LLC being considered a VIE. Due to our power to control the activities most directly affecting the results of SciPlay Parent LLC, we are considered the primary beneficiary of the VIE. Accordingly, we consolidate the financial results of SciPlay Parent LLC and its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changes to our significant accounting policies described within the Notes of our 2022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There have been no recent accounting pronouncements or changes in accounting pronouncements since those described within the Notes of our 2022 10-K that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Revenue Recognition</w:t>
      </w:r>
    </w:p>
    <w:p>
      <w:pPr>
        <w:spacing w:after="0" w:line="212" w:lineRule="exact"/>
        <w:rPr>
          <w:sz w:val="20"/>
          <w:szCs w:val="20"/>
          <w:color w:val="auto"/>
        </w:rPr>
      </w:pPr>
    </w:p>
    <w:p>
      <w:pPr>
        <w:ind w:right="40" w:firstLine="648"/>
        <w:spacing w:after="0" w:line="231" w:lineRule="auto"/>
        <w:rPr>
          <w:sz w:val="20"/>
          <w:szCs w:val="20"/>
          <w:color w:val="auto"/>
        </w:rPr>
      </w:pPr>
      <w:r>
        <w:rPr>
          <w:rFonts w:ascii="Arial" w:cs="Arial" w:eastAsia="Arial" w:hAnsi="Arial"/>
          <w:sz w:val="18"/>
          <w:szCs w:val="18"/>
          <w:color w:val="auto"/>
        </w:rPr>
        <w:t>We generate revenue from the sale of coins, chips and cards, which players can use to play casino-style slot games, table games and bingo games (i.e., spin in the case of slot games, bet in the case of table games and use bingo cards in the case of bingo games). We distribute our games through various global social web and mobile platforms such as Facebook, Apple, Google, Amazon and Microsoft. The games we offer are internally branded franchises, original content and third-party branded games. We also generate revenue from providing advertising platforms with access to our game software platform, which facilitates the placement of advertising inventory.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Revenue</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We believe disaggregation of our revenue on the basis of platform type and geographical location of our players is appropriate because the nature of revenue and the number of players generating revenue could vary on such basis, which represent different economic risk profiles.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platform type: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250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r>
      <w:tr>
        <w:trPr>
          <w:trHeight w:val="219"/>
        </w:trPr>
        <w:tc>
          <w:tcPr>
            <w:tcW w:w="82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6"/>
                <w:szCs w:val="16"/>
                <w:b w:val="1"/>
                <w:bCs w:val="1"/>
                <w:color w:val="auto"/>
              </w:rPr>
              <w:t>March 31,</w:t>
            </w:r>
          </w:p>
        </w:tc>
        <w:tc>
          <w:tcPr>
            <w:tcW w:w="520" w:type="dxa"/>
            <w:vAlign w:val="bottom"/>
            <w:tcBorders>
              <w:bottom w:val="single" w:sz="8" w:color="auto"/>
            </w:tcBorders>
          </w:tcPr>
          <w:p>
            <w:pPr>
              <w:spacing w:after="0"/>
              <w:rPr>
                <w:sz w:val="19"/>
                <w:szCs w:val="19"/>
                <w:color w:val="auto"/>
              </w:rPr>
            </w:pPr>
          </w:p>
        </w:tc>
      </w:tr>
      <w:tr>
        <w:trPr>
          <w:trHeight w:val="210"/>
        </w:trPr>
        <w:tc>
          <w:tcPr>
            <w:tcW w:w="8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in-app purchases</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139.7</w:t>
            </w:r>
          </w:p>
        </w:tc>
      </w:tr>
      <w:tr>
        <w:trPr>
          <w:trHeight w:val="230"/>
        </w:trPr>
        <w:tc>
          <w:tcPr>
            <w:tcW w:w="8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Web in-app purchases and other</w:t>
            </w:r>
            <w:r>
              <w:rPr>
                <w:rFonts w:ascii="Arial" w:cs="Arial" w:eastAsia="Arial" w:hAnsi="Arial"/>
                <w:sz w:val="23"/>
                <w:szCs w:val="23"/>
                <w:color w:val="auto"/>
                <w:vertAlign w:val="superscript"/>
              </w:rPr>
              <w:t>(1)</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186.4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158.0</w:t>
            </w:r>
          </w:p>
        </w:tc>
      </w:tr>
    </w:tbl>
    <w:p>
      <w:pPr>
        <w:ind w:left="220" w:hanging="140"/>
        <w:spacing w:after="0"/>
        <w:tabs>
          <w:tab w:leader="none" w:pos="220" w:val="left"/>
        </w:tabs>
        <w:numPr>
          <w:ilvl w:val="0"/>
          <w:numId w:val="7"/>
        </w:numPr>
        <w:rPr>
          <w:rFonts w:ascii="Arial" w:cs="Arial" w:eastAsia="Arial" w:hAnsi="Arial"/>
          <w:sz w:val="9"/>
          <w:szCs w:val="9"/>
          <w:color w:val="auto"/>
        </w:rPr>
      </w:pPr>
      <w:r>
        <w:rPr>
          <w:rFonts w:ascii="Arial" w:cs="Arial" w:eastAsia="Arial" w:hAnsi="Arial"/>
          <w:sz w:val="14"/>
          <w:szCs w:val="14"/>
          <w:color w:val="auto"/>
        </w:rPr>
        <w:t>Other primarily represents advertising revenue, which was not material in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-92710</wp:posOffset>
            </wp:positionV>
            <wp:extent cx="19113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based on the geographical location of our players: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250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r>
      <w:tr>
        <w:trPr>
          <w:trHeight w:val="219"/>
        </w:trPr>
        <w:tc>
          <w:tcPr>
            <w:tcW w:w="82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6"/>
                <w:szCs w:val="16"/>
                <w:b w:val="1"/>
                <w:bCs w:val="1"/>
                <w:color w:val="auto"/>
              </w:rPr>
              <w:t>March 31,</w:t>
            </w:r>
          </w:p>
        </w:tc>
        <w:tc>
          <w:tcPr>
            <w:tcW w:w="520" w:type="dxa"/>
            <w:vAlign w:val="bottom"/>
            <w:tcBorders>
              <w:bottom w:val="single" w:sz="8" w:color="auto"/>
            </w:tcBorders>
          </w:tcPr>
          <w:p>
            <w:pPr>
              <w:spacing w:after="0"/>
              <w:rPr>
                <w:sz w:val="19"/>
                <w:szCs w:val="19"/>
                <w:color w:val="auto"/>
              </w:rPr>
            </w:pPr>
          </w:p>
        </w:tc>
      </w:tr>
      <w:tr>
        <w:trPr>
          <w:trHeight w:val="210"/>
        </w:trPr>
        <w:tc>
          <w:tcPr>
            <w:tcW w:w="8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r>
      <w:tr>
        <w:trPr>
          <w:trHeight w:val="226"/>
        </w:trPr>
        <w:tc>
          <w:tcPr>
            <w:tcW w:w="82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North America</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144.9</w:t>
            </w:r>
          </w:p>
        </w:tc>
      </w:tr>
      <w:tr>
        <w:trPr>
          <w:trHeight w:val="256"/>
        </w:trPr>
        <w:tc>
          <w:tcPr>
            <w:tcW w:w="82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24"/>
        </w:trPr>
        <w:tc>
          <w:tcPr>
            <w:tcW w:w="82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940" w:type="dxa"/>
            <w:vAlign w:val="bottom"/>
          </w:tcPr>
          <w:p>
            <w:pPr>
              <w:jc w:val="right"/>
              <w:ind w:right="73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186.4</w:t>
            </w:r>
          </w:p>
        </w:tc>
        <w:tc>
          <w:tcPr>
            <w:tcW w:w="100" w:type="dxa"/>
            <w:vAlign w:val="bottom"/>
          </w:tcPr>
          <w:p>
            <w:pPr>
              <w:spacing w:after="0"/>
              <w:rPr>
                <w:sz w:val="19"/>
                <w:szCs w:val="19"/>
                <w:color w:val="auto"/>
              </w:rPr>
            </w:pP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hanging="154"/>
        <w:spacing w:after="0" w:line="235" w:lineRule="auto"/>
        <w:tabs>
          <w:tab w:leader="none" w:pos="18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North America revenue includes revenue derived from the U.S., Canada and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-102870</wp:posOffset>
            </wp:positionV>
            <wp:extent cx="19113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Contract Liabilities and Other Disclosures</w:t>
      </w:r>
    </w:p>
    <w:p>
      <w:pPr>
        <w:spacing w:after="0" w:line="225"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receive customer payments based on the payment terms established in our contracts. Payment for the purchase of coins, chips and cards is made at purchase, and such payments are non-refundable in accordance with our standard terms of service. Such payments are initially recorded as a contract liability, and revenue is subsequently recognized as we satisfy our performance obligations.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opening and closing balances in contract assets, contract liabilities and accounts receivable: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Accounts</w:t>
            </w:r>
          </w:p>
        </w:tc>
        <w:tc>
          <w:tcPr>
            <w:tcW w:w="120" w:type="dxa"/>
            <w:vAlign w:val="bottom"/>
          </w:tcPr>
          <w:p>
            <w:pPr>
              <w:spacing w:after="0"/>
              <w:rPr>
                <w:sz w:val="16"/>
                <w:szCs w:val="16"/>
                <w:color w:val="auto"/>
              </w:rPr>
            </w:pPr>
          </w:p>
        </w:tc>
        <w:tc>
          <w:tcPr>
            <w:tcW w:w="1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Contract Assets</w:t>
            </w:r>
            <w:r>
              <w:rPr>
                <w:rFonts w:ascii="Arial" w:cs="Arial" w:eastAsia="Arial" w:hAnsi="Arial"/>
                <w:sz w:val="21"/>
                <w:szCs w:val="21"/>
                <w:b w:val="1"/>
                <w:bCs w:val="1"/>
                <w:color w:val="auto"/>
                <w:vertAlign w:val="superscript"/>
              </w:rPr>
              <w:t>(1)</w:t>
            </w:r>
          </w:p>
        </w:tc>
        <w:tc>
          <w:tcPr>
            <w:tcW w:w="220" w:type="dxa"/>
            <w:vAlign w:val="bottom"/>
          </w:tcPr>
          <w:p>
            <w:pPr>
              <w:spacing w:after="0"/>
              <w:rPr>
                <w:sz w:val="16"/>
                <w:szCs w:val="16"/>
                <w:color w:val="auto"/>
              </w:rPr>
            </w:pPr>
          </w:p>
        </w:tc>
        <w:tc>
          <w:tcPr>
            <w:tcW w:w="1240" w:type="dxa"/>
            <w:vAlign w:val="bottom"/>
          </w:tcPr>
          <w:p>
            <w:pPr>
              <w:jc w:val="right"/>
              <w:ind w:right="335"/>
              <w:spacing w:after="0"/>
              <w:rPr>
                <w:sz w:val="20"/>
                <w:szCs w:val="20"/>
                <w:color w:val="auto"/>
              </w:rPr>
            </w:pPr>
            <w:r>
              <w:rPr>
                <w:rFonts w:ascii="Arial" w:cs="Arial" w:eastAsia="Arial" w:hAnsi="Arial"/>
                <w:sz w:val="16"/>
                <w:szCs w:val="16"/>
                <w:b w:val="1"/>
                <w:bCs w:val="1"/>
                <w:color w:val="auto"/>
              </w:rPr>
              <w:t>Contract</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Receivable</w:t>
            </w:r>
          </w:p>
        </w:tc>
        <w:tc>
          <w:tcPr>
            <w:tcW w:w="1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35"/>
              <w:spacing w:after="0" w:line="230" w:lineRule="exact"/>
              <w:rPr>
                <w:sz w:val="20"/>
                <w:szCs w:val="20"/>
                <w:color w:val="auto"/>
              </w:rPr>
            </w:pPr>
            <w:r>
              <w:rPr>
                <w:rFonts w:ascii="Arial" w:cs="Arial" w:eastAsia="Arial" w:hAnsi="Arial"/>
                <w:sz w:val="16"/>
                <w:szCs w:val="16"/>
                <w:b w:val="1"/>
                <w:bCs w:val="1"/>
                <w:color w:val="auto"/>
                <w:w w:val="98"/>
              </w:rPr>
              <w:t>Liabilities</w:t>
            </w:r>
            <w:r>
              <w:rPr>
                <w:rFonts w:ascii="Arial" w:cs="Arial" w:eastAsia="Arial" w:hAnsi="Arial"/>
                <w:sz w:val="21"/>
                <w:szCs w:val="21"/>
                <w:b w:val="1"/>
                <w:bCs w:val="1"/>
                <w:color w:val="auto"/>
                <w:w w:val="98"/>
                <w:vertAlign w:val="superscript"/>
              </w:rPr>
              <w:t>(2)</w:t>
            </w: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 balance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7"/>
        </w:trPr>
        <w:tc>
          <w:tcPr>
            <w:tcW w:w="6640" w:type="dxa"/>
            <w:vAlign w:val="bottom"/>
          </w:tcPr>
          <w:p>
            <w:pPr>
              <w:ind w:left="20"/>
              <w:spacing w:after="0"/>
              <w:rPr>
                <w:sz w:val="20"/>
                <w:szCs w:val="20"/>
                <w:color w:val="auto"/>
              </w:rPr>
            </w:pPr>
            <w:r>
              <w:rPr>
                <w:rFonts w:ascii="Arial" w:cs="Arial" w:eastAsia="Arial" w:hAnsi="Arial"/>
                <w:sz w:val="18"/>
                <w:szCs w:val="18"/>
                <w:color w:val="auto"/>
              </w:rPr>
              <w:t>Balance as of March 31, 2023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ind w:left="180" w:hanging="154"/>
        <w:spacing w:after="0" w:line="188" w:lineRule="auto"/>
        <w:tabs>
          <w:tab w:leader="none" w:pos="18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Contract assets are included within Prepaid expenses and other current assets in our consolidated balance sheets.</w:t>
      </w:r>
    </w:p>
    <w:p>
      <w:pPr>
        <w:ind w:left="180" w:hanging="154"/>
        <w:spacing w:after="0"/>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Contract liabilities are included within Accrued liabilities in our consolidated balance sheets.</w:t>
      </w:r>
    </w:p>
    <w:p>
      <w:pPr>
        <w:spacing w:after="0" w:line="31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During the three months ended March 31, 2023 and 2022, we recognized $0.6 million and $0.3 million, respectively, of revenue that was included in the opening contract liability balance. Substantially all of our unsatisfied performance obligations relate to contracts with an original expected length of one year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revenue and accounts receivable are generated via certain platform providers, which subject us to a concentration of credit risk. The following tables summarize the percentage of revenues and accounts receivable generated via our platform providers in excess of 10% of our total revenues and total accounts receivable: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5"/>
          </w:tcPr>
          <w:p>
            <w:pPr>
              <w:ind w:left="940"/>
              <w:spacing w:after="0"/>
              <w:rPr>
                <w:sz w:val="20"/>
                <w:szCs w:val="20"/>
                <w:color w:val="auto"/>
              </w:rPr>
            </w:pPr>
            <w:r>
              <w:rPr>
                <w:rFonts w:ascii="Arial" w:cs="Arial" w:eastAsia="Arial" w:hAnsi="Arial"/>
                <w:sz w:val="16"/>
                <w:szCs w:val="16"/>
                <w:b w:val="1"/>
                <w:bCs w:val="1"/>
                <w:color w:val="auto"/>
              </w:rPr>
              <w:t>Revenue Concentration</w:t>
            </w:r>
          </w:p>
        </w:tc>
      </w:tr>
      <w:tr>
        <w:trPr>
          <w:trHeight w:val="213"/>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09"/>
        </w:trPr>
        <w:tc>
          <w:tcPr>
            <w:tcW w:w="7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2023</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2022</w:t>
            </w:r>
          </w:p>
        </w:tc>
      </w:tr>
      <w:tr>
        <w:trPr>
          <w:trHeight w:val="226"/>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Apple</w:t>
            </w: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48.8%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47.9%</w:t>
            </w: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Google</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0"/>
              </w:rPr>
              <w:t>34.3%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0"/>
              </w:rPr>
              <w:t>34.6%</w:t>
            </w: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Facebook</w:t>
            </w: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12.1%</w:t>
            </w:r>
          </w:p>
        </w:tc>
      </w:tr>
      <w:tr>
        <w:trPr>
          <w:trHeight w:val="550"/>
        </w:trPr>
        <w:tc>
          <w:tcPr>
            <w:tcW w:w="7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89"/>
              </w:rPr>
              <w:t>Accounts Receivable Concentration as of</w:t>
            </w:r>
          </w:p>
        </w:tc>
      </w:tr>
      <w:tr>
        <w:trPr>
          <w:trHeight w:val="210"/>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3"/>
          </w:tcPr>
          <w:p>
            <w:pPr>
              <w:ind w:left="380"/>
              <w:spacing w:after="0"/>
              <w:rPr>
                <w:sz w:val="20"/>
                <w:szCs w:val="20"/>
                <w:color w:val="auto"/>
              </w:rPr>
            </w:pPr>
            <w:r>
              <w:rPr>
                <w:rFonts w:ascii="Arial" w:cs="Arial" w:eastAsia="Arial" w:hAnsi="Arial"/>
                <w:sz w:val="16"/>
                <w:szCs w:val="16"/>
                <w:b w:val="1"/>
                <w:bCs w:val="1"/>
                <w:color w:val="auto"/>
              </w:rPr>
              <w:t>March 31, 2023</w:t>
            </w:r>
          </w:p>
        </w:tc>
        <w:tc>
          <w:tcPr>
            <w:tcW w:w="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 2022</w:t>
            </w:r>
          </w:p>
        </w:tc>
      </w:tr>
      <w:tr>
        <w:trPr>
          <w:trHeight w:val="226"/>
        </w:trPr>
        <w:tc>
          <w:tcPr>
            <w:tcW w:w="7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Apple</w:t>
            </w:r>
          </w:p>
        </w:tc>
        <w:tc>
          <w:tcPr>
            <w:tcW w:w="6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61.5%</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48.3%</w:t>
            </w: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Google</w:t>
            </w:r>
          </w:p>
        </w:tc>
        <w:tc>
          <w:tcPr>
            <w:tcW w:w="18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24.7%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0"/>
              </w:rPr>
              <w:t>30.5%</w:t>
            </w: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Facebook</w:t>
            </w:r>
          </w:p>
        </w:tc>
        <w:tc>
          <w:tcPr>
            <w:tcW w:w="18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2"/>
              </w:rPr>
              <w:t>8.0%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Alictus Acquisition</w:t>
      </w:r>
    </w:p>
    <w:p>
      <w:pPr>
        <w:spacing w:after="0" w:line="225"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On March 1, 2022, we acquired 80% of all issued and outstanding share capital of privately-held Alictus Yazilim Anonim Şirketi (“Alictus”), a Turkey-based hyper-casual gaming studio. The remaining 20% was to be acquired ratably for potential additional consideration payable annually based upon the achievement of specified revenue and earnings targets by Alictus during each of the five years following the acquisition date. The specified financial targets for the first year were not met, resulting in extinguishment of $2.9 million in redeemable non-controlling interest liability, which was recorded within the other income (expense), net line item in our consolidated statement of income. The remaining payout ranges from a minimum of $0.0 million to a maximum payout of $200.0 million.</w:t>
      </w:r>
    </w:p>
    <w:p>
      <w:pPr>
        <w:spacing w:after="0" w:line="185"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incurred acquisition-related costs, which were recorded in Restructuring and other, of $1.2 million for the three months ended March 31, 2022. The results of operations from Alictus have been included in our consolidated statement of income since the date of acquisition and are not significant to our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 Intangible Assets and Software,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reconciles the changes in the carrying value of goodwill for the period from December 31, 2022 to March 31,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22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30"/>
        </w:trPr>
        <w:tc>
          <w:tcPr>
            <w:tcW w:w="9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adjustments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1"/>
        </w:trPr>
        <w:tc>
          <w:tcPr>
            <w:tcW w:w="9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March 31, 2023</w:t>
            </w: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The following table presents certain information regarding our intangible assets and software: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6"/>
                <w:szCs w:val="16"/>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6"/>
                <w:szCs w:val="16"/>
                <w:color w:val="auto"/>
              </w:rPr>
            </w:pPr>
          </w:p>
        </w:tc>
        <w:tc>
          <w:tcPr>
            <w:tcW w:w="118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line="162" w:lineRule="exact"/>
              <w:rPr>
                <w:sz w:val="20"/>
                <w:szCs w:val="20"/>
                <w:color w:val="auto"/>
              </w:rPr>
            </w:pPr>
            <w:r>
              <w:rPr>
                <w:rFonts w:ascii="Arial" w:cs="Arial" w:eastAsia="Arial" w:hAnsi="Arial"/>
                <w:sz w:val="16"/>
                <w:szCs w:val="16"/>
                <w:b w:val="1"/>
                <w:bCs w:val="1"/>
                <w:color w:val="auto"/>
                <w:w w:val="97"/>
              </w:rPr>
              <w:t>Carrying</w:t>
            </w: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1180" w:type="dxa"/>
            <w:vAlign w:val="bottom"/>
          </w:tcPr>
          <w:p>
            <w:pPr>
              <w:jc w:val="right"/>
              <w:ind w:right="371"/>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9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Intellectual property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Brand names and other</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intangible assets and software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Intellectual property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Brand names and other</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intangible assets and software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reflects amortization expense related to intangible assets and software included within Depreciation and amortization:</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19113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6" w:lineRule="exact"/>
        <w:rPr>
          <w:sz w:val="20"/>
          <w:szCs w:val="20"/>
          <w:color w:val="auto"/>
        </w:rPr>
      </w:pPr>
    </w:p>
    <w:p>
      <w:pPr>
        <w:ind w:left="8800"/>
        <w:spacing w:after="0"/>
        <w:tabs>
          <w:tab w:leader="none" w:pos="1032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32" w:lineRule="exact"/>
        <w:rPr>
          <w:sz w:val="20"/>
          <w:szCs w:val="20"/>
          <w:color w:val="auto"/>
        </w:rPr>
      </w:pPr>
    </w:p>
    <w:p>
      <w:pPr>
        <w:ind w:left="20"/>
        <w:spacing w:after="0"/>
        <w:tabs>
          <w:tab w:leader="none" w:pos="8220" w:val="left"/>
          <w:tab w:leader="none" w:pos="9380" w:val="left"/>
          <w:tab w:leader="none" w:pos="9780" w:val="left"/>
          <w:tab w:leader="none" w:pos="10920" w:val="left"/>
        </w:tabs>
        <w:rPr>
          <w:sz w:val="20"/>
          <w:szCs w:val="20"/>
          <w:color w:val="auto"/>
        </w:rPr>
      </w:pPr>
      <w:r>
        <w:rPr>
          <w:rFonts w:ascii="Arial" w:cs="Arial" w:eastAsia="Arial" w:hAnsi="Arial"/>
          <w:sz w:val="18"/>
          <w:szCs w:val="18"/>
          <w:color w:val="auto"/>
        </w:rPr>
        <w:t>Amortization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w:t>
        <w:tab/>
        <w:t>$</w:t>
      </w:r>
      <w:r>
        <w:rPr>
          <w:sz w:val="20"/>
          <w:szCs w:val="20"/>
          <w:color w:val="auto"/>
        </w:rPr>
        <w:tab/>
      </w: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8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operating leases primarily consist of real estate office leases, and total expenses related to these leases were $0.7 million and $0.7 million for the three months ended March 31, 2023 and 2022, respectively. We do not have any material finance leases. Our total variable and short-term lease payments and operating lease expenses were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Supplemental balance sheet and cash flow information related to operating leases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4"/>
              </w:rPr>
              <w:t>As of</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7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March 31, 2023</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December 31, 2022</w:t>
            </w:r>
          </w:p>
        </w:tc>
        <w:tc>
          <w:tcPr>
            <w:tcW w:w="20" w:type="dxa"/>
            <w:vAlign w:val="bottom"/>
          </w:tcPr>
          <w:p>
            <w:pPr>
              <w:spacing w:after="0"/>
              <w:rPr>
                <w:sz w:val="18"/>
                <w:szCs w:val="18"/>
                <w:color w:val="auto"/>
              </w:rPr>
            </w:pP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r>
      <w:tr>
        <w:trPr>
          <w:trHeight w:val="250"/>
        </w:trPr>
        <w:tc>
          <w:tcPr>
            <w:tcW w:w="7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r>
      <w:tr>
        <w:trPr>
          <w:trHeight w:val="229"/>
        </w:trPr>
        <w:tc>
          <w:tcPr>
            <w:tcW w:w="73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r>
      <w:tr>
        <w:trPr>
          <w:trHeight w:val="250"/>
        </w:trPr>
        <w:tc>
          <w:tcPr>
            <w:tcW w:w="7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79"/>
              </w:rPr>
              <w:t>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40" w:type="dxa"/>
            <w:vAlign w:val="bottom"/>
          </w:tcPr>
          <w:p>
            <w:pPr>
              <w:spacing w:after="0"/>
              <w:rPr>
                <w:sz w:val="20"/>
                <w:szCs w:val="20"/>
                <w:color w:val="auto"/>
              </w:rPr>
            </w:pPr>
          </w:p>
        </w:tc>
        <w:tc>
          <w:tcPr>
            <w:tcW w:w="1620" w:type="dxa"/>
            <w:vAlign w:val="bottom"/>
            <w:gridSpan w:val="2"/>
          </w:tcPr>
          <w:p>
            <w:pPr>
              <w:ind w:left="1180"/>
              <w:spacing w:after="0"/>
              <w:rPr>
                <w:sz w:val="20"/>
                <w:szCs w:val="20"/>
                <w:color w:val="auto"/>
              </w:rPr>
            </w:pPr>
            <w:r>
              <w:rPr>
                <w:rFonts w:ascii="Arial" w:cs="Arial" w:eastAsia="Arial" w:hAnsi="Arial"/>
                <w:sz w:val="18"/>
                <w:szCs w:val="18"/>
                <w:color w:val="auto"/>
                <w:w w:val="91"/>
              </w:rPr>
              <w:t>4.9 %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ind w:left="980"/>
              <w:spacing w:after="0"/>
              <w:rPr>
                <w:sz w:val="20"/>
                <w:szCs w:val="20"/>
                <w:color w:val="auto"/>
              </w:rPr>
            </w:pPr>
            <w:r>
              <w:rPr>
                <w:rFonts w:ascii="Arial" w:cs="Arial" w:eastAsia="Arial" w:hAnsi="Arial"/>
                <w:sz w:val="18"/>
                <w:szCs w:val="18"/>
                <w:color w:val="auto"/>
                <w:w w:val="95"/>
              </w:rPr>
              <w:t>4.9 %</w:t>
            </w:r>
          </w:p>
        </w:tc>
        <w:tc>
          <w:tcPr>
            <w:tcW w:w="20" w:type="dxa"/>
            <w:vAlign w:val="bottom"/>
          </w:tcPr>
          <w:p>
            <w:pPr>
              <w:spacing w:after="0"/>
              <w:rPr>
                <w:sz w:val="20"/>
                <w:szCs w:val="20"/>
                <w:color w:val="auto"/>
              </w:rPr>
            </w:pPr>
          </w:p>
        </w:tc>
      </w:tr>
      <w:tr>
        <w:trPr>
          <w:trHeight w:val="499"/>
        </w:trPr>
        <w:tc>
          <w:tcPr>
            <w:tcW w:w="7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gridSpan w:val="8"/>
          </w:tcPr>
          <w:p>
            <w:pPr>
              <w:ind w:left="440"/>
              <w:spacing w:after="0"/>
              <w:rPr>
                <w:sz w:val="20"/>
                <w:szCs w:val="20"/>
                <w:color w:val="auto"/>
              </w:rPr>
            </w:pPr>
            <w:r>
              <w:rPr>
                <w:rFonts w:ascii="Arial" w:cs="Arial" w:eastAsia="Arial" w:hAnsi="Arial"/>
                <w:sz w:val="18"/>
                <w:szCs w:val="18"/>
                <w:b w:val="1"/>
                <w:bCs w:val="1"/>
                <w:color w:val="auto"/>
              </w:rPr>
              <w:t>Three Months Ended March 31,</w:t>
            </w:r>
          </w:p>
        </w:tc>
      </w:tr>
      <w:tr>
        <w:trPr>
          <w:trHeight w:val="207"/>
        </w:trPr>
        <w:tc>
          <w:tcPr>
            <w:tcW w:w="73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r>
      <w:tr>
        <w:trPr>
          <w:trHeight w:val="212"/>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7360" w:type="dxa"/>
            <w:vAlign w:val="bottom"/>
          </w:tcPr>
          <w:p>
            <w:pPr>
              <w:ind w:left="100"/>
              <w:spacing w:after="0" w:line="176" w:lineRule="exact"/>
              <w:rPr>
                <w:sz w:val="20"/>
                <w:szCs w:val="20"/>
                <w:color w:val="auto"/>
              </w:rPr>
            </w:pPr>
            <w:r>
              <w:rPr>
                <w:rFonts w:ascii="Arial" w:cs="Arial" w:eastAsia="Arial" w:hAnsi="Arial"/>
                <w:sz w:val="18"/>
                <w:szCs w:val="18"/>
                <w:color w:val="auto"/>
                <w:w w:val="94"/>
              </w:rPr>
              <w:t>Operating cash flows for operating leases for the three months ended March 31, 2023 and 2022,</w:t>
            </w: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7360" w:type="dxa"/>
            <w:vAlign w:val="bottom"/>
          </w:tcPr>
          <w:p>
            <w:pPr>
              <w:ind w:left="100"/>
              <w:spacing w:after="0"/>
              <w:rPr>
                <w:sz w:val="20"/>
                <w:szCs w:val="20"/>
                <w:color w:val="auto"/>
              </w:rPr>
            </w:pPr>
            <w:r>
              <w:rPr>
                <w:rFonts w:ascii="Arial" w:cs="Arial" w:eastAsia="Arial" w:hAnsi="Arial"/>
                <w:sz w:val="18"/>
                <w:szCs w:val="18"/>
                <w:color w:val="auto"/>
              </w:rPr>
              <w:t>respectively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180"/>
              <w:spacing w:after="0"/>
              <w:rPr>
                <w:sz w:val="20"/>
                <w:szCs w:val="20"/>
                <w:color w:val="auto"/>
              </w:rPr>
            </w:pPr>
            <w:r>
              <w:rPr>
                <w:rFonts w:ascii="Arial" w:cs="Arial" w:eastAsia="Arial" w:hAnsi="Arial"/>
                <w:sz w:val="18"/>
                <w:szCs w:val="18"/>
                <w:color w:val="auto"/>
              </w:rPr>
              <w:t>0.6</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ind w:left="98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r>
      <w:tr>
        <w:trPr>
          <w:trHeight w:val="675"/>
        </w:trPr>
        <w:tc>
          <w:tcPr>
            <w:tcW w:w="7360" w:type="dxa"/>
            <w:vAlign w:val="bottom"/>
          </w:tcPr>
          <w:p>
            <w:pPr>
              <w:ind w:left="660"/>
              <w:spacing w:after="0"/>
              <w:rPr>
                <w:sz w:val="20"/>
                <w:szCs w:val="20"/>
                <w:color w:val="auto"/>
              </w:rPr>
            </w:pPr>
            <w:r>
              <w:rPr>
                <w:rFonts w:ascii="Arial" w:cs="Arial" w:eastAsia="Arial" w:hAnsi="Arial"/>
                <w:sz w:val="18"/>
                <w:szCs w:val="18"/>
                <w:color w:val="auto"/>
              </w:rPr>
              <w:t>Lease liability maturities: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73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Operating Leases</w:t>
            </w: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ind w:left="1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1080"/>
              <w:spacing w:after="0"/>
              <w:rPr>
                <w:sz w:val="20"/>
                <w:szCs w:val="20"/>
                <w:color w:val="auto"/>
              </w:rPr>
            </w:pPr>
            <w:r>
              <w:rPr>
                <w:rFonts w:ascii="Arial" w:cs="Arial" w:eastAsia="Arial" w:hAnsi="Arial"/>
                <w:sz w:val="18"/>
                <w:szCs w:val="18"/>
                <w:color w:val="auto"/>
                <w:w w:val="97"/>
              </w:rPr>
              <w:t>(0.3)</w:t>
            </w:r>
          </w:p>
        </w:tc>
      </w:tr>
      <w:tr>
        <w:trPr>
          <w:trHeight w:val="248"/>
        </w:trPr>
        <w:tc>
          <w:tcPr>
            <w:tcW w:w="7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2023, we did not have material additional operating leases that have not yet commenced.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3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hold an economic interest of 17.5% in SciPlay Parent LLC. The 82.5% economic interest that we do not own represents a noncontrolling interest for financial reporting purposes. SciPlay Parent LLC is treated as a partnership for U.S. federal and most applicable state and local income tax purposes. As such, SciPlay Parent LLC is not subject to income tax in most jurisdictions, and SciPlay Parent LLC’s members, of which we are one, are liable for income taxes based on their allocable share of SciPlay Parent LLC’s taxable income. The effective income tax rates for the three months ended March 31, 2023 and 2022 were 8.5% and 6.4%, respectively. The effective income tax rates were determined using an estimated annual effective tax rate after considering any discrete items for such periods. Our effective tax rate differs from the U.S. statutory rate of 21.0% primarily because we generally do not record income taxes for the noncontrolling interest portion of U.S. pre-tax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During the three months ended March 31, 2023 and 2022, there were no payments made to Light &amp; Wonder pursuant to the TRA. As of both March 31, 2023 and December 31, 2022, the total TRA liability was $64.3 million, of which $4.1 million was included in Accrued liabilities for each of the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the summary of expenses paid to Light &amp; Wonder and settled in cash:</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40" w:type="dxa"/>
            <w:vAlign w:val="bottom"/>
          </w:tcPr>
          <w:p>
            <w:pPr>
              <w:spacing w:after="0"/>
              <w:rPr>
                <w:sz w:val="18"/>
                <w:szCs w:val="18"/>
                <w:color w:val="auto"/>
              </w:rPr>
            </w:pPr>
          </w:p>
        </w:tc>
        <w:tc>
          <w:tcPr>
            <w:tcW w:w="1920" w:type="dxa"/>
            <w:vAlign w:val="bottom"/>
            <w:gridSpan w:val="4"/>
          </w:tcPr>
          <w:p>
            <w:pPr>
              <w:ind w:left="380"/>
              <w:spacing w:after="0"/>
              <w:rPr>
                <w:sz w:val="20"/>
                <w:szCs w:val="20"/>
                <w:color w:val="auto"/>
              </w:rPr>
            </w:pPr>
            <w:r>
              <w:rPr>
                <w:rFonts w:ascii="Arial" w:cs="Arial" w:eastAsia="Arial" w:hAnsi="Arial"/>
                <w:sz w:val="16"/>
                <w:szCs w:val="16"/>
                <w:b w:val="1"/>
                <w:bCs w:val="1"/>
                <w:color w:val="auto"/>
                <w:w w:val="96"/>
              </w:rPr>
              <w:t>Three Months Ended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March 31,</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6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w w:val="95"/>
              </w:rPr>
              <w:t>2023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Financial Statement Line Item</w:t>
            </w:r>
          </w:p>
        </w:tc>
      </w:tr>
      <w:tr>
        <w:trPr>
          <w:trHeight w:val="22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 to Light &amp; Wonder for third-party IP</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0.3</w:t>
            </w:r>
          </w:p>
        </w:tc>
        <w:tc>
          <w:tcPr>
            <w:tcW w:w="80" w:type="dxa"/>
            <w:vAlign w:val="bottom"/>
            <w:shd w:val="clear" w:color="auto" w:fill="CCEEFF"/>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Parent services</w:t>
            </w:r>
          </w:p>
        </w:tc>
        <w:tc>
          <w:tcPr>
            <w:tcW w:w="74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5"/>
              </w:rPr>
              <w:t>1.4</w:t>
            </w:r>
          </w:p>
        </w:tc>
        <w:tc>
          <w:tcPr>
            <w:tcW w:w="8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r>
      <w:tr>
        <w:trPr>
          <w:trHeight w:val="229"/>
        </w:trPr>
        <w:tc>
          <w:tcPr>
            <w:tcW w:w="6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Distributions to Parent and affiliates, net</w:t>
            </w:r>
            <w:r>
              <w:rPr>
                <w:rFonts w:ascii="Arial" w:cs="Arial" w:eastAsia="Arial" w:hAnsi="Arial"/>
                <w:sz w:val="23"/>
                <w:szCs w:val="23"/>
                <w:color w:val="auto"/>
                <w:vertAlign w:val="superscript"/>
              </w:rPr>
              <w:t>(1)</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0.2</w:t>
            </w:r>
          </w:p>
        </w:tc>
        <w:tc>
          <w:tcPr>
            <w:tcW w:w="80" w:type="dxa"/>
            <w:vAlign w:val="bottom"/>
            <w:shd w:val="clear" w:color="auto" w:fill="CCEEFF"/>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r>
    </w:tbl>
    <w:p>
      <w:pPr>
        <w:spacing w:after="0" w:line="49" w:lineRule="exact"/>
        <w:rPr>
          <w:sz w:val="20"/>
          <w:szCs w:val="20"/>
          <w:color w:val="auto"/>
        </w:rPr>
      </w:pPr>
    </w:p>
    <w:p>
      <w:pPr>
        <w:ind w:left="20" w:right="360" w:firstLine="6"/>
        <w:spacing w:after="0" w:line="253" w:lineRule="auto"/>
        <w:tabs>
          <w:tab w:leader="none" w:pos="165" w:val="left"/>
        </w:tabs>
        <w:numPr>
          <w:ilvl w:val="0"/>
          <w:numId w:val="10"/>
        </w:numPr>
        <w:rPr>
          <w:rFonts w:ascii="Arial" w:cs="Arial" w:eastAsia="Arial" w:hAnsi="Arial"/>
          <w:sz w:val="9"/>
          <w:szCs w:val="9"/>
          <w:color w:val="auto"/>
        </w:rPr>
      </w:pPr>
      <w:r>
        <w:rPr>
          <w:rFonts w:ascii="Arial" w:cs="Arial" w:eastAsia="Arial" w:hAnsi="Arial"/>
          <w:sz w:val="14"/>
          <w:szCs w:val="14"/>
          <w:color w:val="auto"/>
        </w:rPr>
        <w:t>Under the terms of the Operating Agreement, SciPlay Corporation relies on distributions from SciPlay Parent LLC to pay its obligations under the TRA and any other tax obligations. All distributions must be on a pari-passu basis, thus initiating a pro-rata distribution to Parent and affiliates.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the summary of balances due to affiliates: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 to Light &amp; Wonder for third-party IP</w:t>
            </w:r>
          </w:p>
        </w:tc>
        <w:tc>
          <w:tcPr>
            <w:tcW w:w="1500" w:type="dxa"/>
            <w:vAlign w:val="bottom"/>
            <w:shd w:val="clear" w:color="auto" w:fill="CCEEFF"/>
          </w:tcPr>
          <w:p>
            <w:pPr>
              <w:jc w:val="right"/>
              <w:ind w:right="1313"/>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Parent services</w:t>
            </w:r>
          </w:p>
        </w:tc>
        <w:tc>
          <w:tcPr>
            <w:tcW w:w="15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 to (from) Light &amp; Wonder and its subsidiaries</w:t>
            </w:r>
          </w:p>
        </w:tc>
        <w:tc>
          <w:tcPr>
            <w:tcW w:w="15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7400" w:type="dxa"/>
            <w:vAlign w:val="bottom"/>
          </w:tcPr>
          <w:p>
            <w:pPr>
              <w:spacing w:after="0"/>
              <w:rPr>
                <w:sz w:val="19"/>
                <w:szCs w:val="19"/>
                <w:color w:val="auto"/>
              </w:rPr>
            </w:pPr>
          </w:p>
        </w:tc>
        <w:tc>
          <w:tcPr>
            <w:tcW w:w="1500" w:type="dxa"/>
            <w:vAlign w:val="bottom"/>
            <w:tcBorders>
              <w:bottom w:val="single" w:sz="8" w:color="auto"/>
            </w:tcBorders>
          </w:tcPr>
          <w:p>
            <w:pPr>
              <w:jc w:val="right"/>
              <w:ind w:right="131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
        </w:trPr>
        <w:tc>
          <w:tcPr>
            <w:tcW w:w="7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Parent Equity Awards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 for disclosures related to Parent’s equity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 Royalties</w:t>
      </w:r>
    </w:p>
    <w:p>
      <w:pPr>
        <w:spacing w:after="0" w:line="239"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As more fully described in Note 10 of our 2022 Form 10-K, we entered into the IP License Agreement under which we obtained an exclusive (subject to certain limited exceptions), perpetual, non-royalty-bearing license from LNW Gaming, Inc. (a subsidiary of the Parent, formerly known as Bally Gaming, Inc.) (“LNW Gaming”) for intellectual property created or acquired by LNW Gaming or its affiliates on or before the third anniversary of the date of the IP License Agreement. Under the terms of the IP License Agreement, some rights would have changed from exclusive to non-exclusive for newly created intellectual property and other rights would not have extended to newly created intellectual property as of May 6, 2022. On May 6, 2022, we entered into an amendment which extended our rights under the IP License Agreement through July 7, 2022. We are in the process of negotiating new terms with the Parent.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 and Noncontrolling Interest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252"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We are a holding company, and our sole material assets are SciPlay Parent LLC Interests (“LLC Interest”) that we purchased from SciPlay Parent LLC and LNW Holding Company I, LLC, an indirect wholly owned subsidiary of Parent, formerly known as SG Holding Company I, LLC (“the L&amp;W Member”), representing an aggregate 17.5% economic interest in SciPlay Parent LLC. The remaining 82.5% economic interest in SciPlay Parent LLC is owned indirectly by Light &amp; Wonder, through the ownership of LLC Interests by the L&amp;W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that is included in General and administrative expenses: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60" w:type="dxa"/>
            <w:vAlign w:val="bottom"/>
          </w:tcPr>
          <w:p>
            <w:pPr>
              <w:spacing w:after="0"/>
              <w:rPr>
                <w:sz w:val="18"/>
                <w:szCs w:val="18"/>
                <w:color w:val="auto"/>
              </w:rPr>
            </w:pPr>
          </w:p>
        </w:tc>
        <w:tc>
          <w:tcPr>
            <w:tcW w:w="2020" w:type="dxa"/>
            <w:vAlign w:val="bottom"/>
            <w:gridSpan w:val="4"/>
          </w:tcPr>
          <w:p>
            <w:pPr>
              <w:jc w:val="right"/>
              <w:ind w:right="13"/>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r>
      <w:tr>
        <w:trPr>
          <w:trHeight w:val="219"/>
        </w:trPr>
        <w:tc>
          <w:tcPr>
            <w:tcW w:w="88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March 31,</w:t>
            </w:r>
          </w:p>
        </w:tc>
        <w:tc>
          <w:tcPr>
            <w:tcW w:w="360" w:type="dxa"/>
            <w:vAlign w:val="bottom"/>
            <w:tcBorders>
              <w:bottom w:val="single" w:sz="8" w:color="auto"/>
            </w:tcBorders>
          </w:tcPr>
          <w:p>
            <w:pPr>
              <w:spacing w:after="0"/>
              <w:rPr>
                <w:sz w:val="19"/>
                <w:szCs w:val="19"/>
                <w:color w:val="auto"/>
              </w:rPr>
            </w:pPr>
          </w:p>
        </w:tc>
      </w:tr>
      <w:tr>
        <w:trPr>
          <w:trHeight w:val="210"/>
        </w:trPr>
        <w:tc>
          <w:tcPr>
            <w:tcW w:w="88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r>
      <w:tr>
        <w:trPr>
          <w:trHeight w:val="226"/>
        </w:trPr>
        <w:tc>
          <w:tcPr>
            <w:tcW w:w="88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SciPlay awards</w:t>
            </w:r>
            <w:r>
              <w:rPr>
                <w:rFonts w:ascii="Arial" w:cs="Arial" w:eastAsia="Arial" w:hAnsi="Arial"/>
                <w:sz w:val="23"/>
                <w:szCs w:val="23"/>
                <w:color w:val="auto"/>
                <w:vertAlign w:val="superscript"/>
              </w:rPr>
              <w:t>(1)</w:t>
            </w: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Parent awards</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Includes $2.3 million and $0.6 million of stock-based compensation classified as liability awards as of March 31, 2023 and 2022, respectively.</w:t>
      </w:r>
    </w:p>
    <w:p>
      <w:pPr>
        <w:spacing w:after="0" w:line="329"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As of March 31, 2023, we had $27.2 million in unrecognized stock-based compensation expense that is expected to be recognized over a weighted-average expected vesting period of 1.3 years, of which $10.3 million relates to performance-based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May 9, 2022, our Board of Directors approved a share repurchase program under which the Company is authorized to repurchase, from time to time through May 9, 2024, up to an aggregate amount of $60.0 million of our outstanding Class A common stock. Repurchases may be made at the discretion of the Board of Directors through one or more open market transactions, privately negotiated transactions, including block trades, accelerated share repurchases, issuer tender offers or other derivative contracts or instruments, “10b5-1” plan, or other financial arrangements or other arrangements. Repurchases are funded from cash flows generated by SciPlay Parent LLC and its operating subsidiaries. Immediately prior to the execution of such repurchases, a redemption is effected of a corresponding number of SciPlay Parent LLC partnership units held by the Company at an aggregate redemption price equal to the aggregate purchase price (plus any expenses related thereto) of the shares of Class A common stock being repurchased by the Company. During the three months ended March 31, 2023, we repurchased 0.5 million shares of Class A common stock under the program at an aggregate cost of $8.2 million. On May 3, 2023, our Board of Directors approved a new share repurchase program under which the Company is authorized to repurchase, from time to time through May 3, 2024, up to an aggregate amount of $60.0 million of our outstanding Class A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56" w:lineRule="exact"/>
        <w:rPr>
          <w:sz w:val="20"/>
          <w:szCs w:val="20"/>
          <w:color w:val="auto"/>
        </w:rPr>
      </w:pPr>
    </w:p>
    <w:p>
      <w:pPr>
        <w:ind w:right="300" w:firstLine="648"/>
        <w:spacing w:after="0" w:line="275" w:lineRule="auto"/>
        <w:rPr>
          <w:sz w:val="20"/>
          <w:szCs w:val="20"/>
          <w:color w:val="auto"/>
        </w:rPr>
      </w:pPr>
      <w:r>
        <w:rPr>
          <w:rFonts w:ascii="Arial" w:cs="Arial" w:eastAsia="Arial" w:hAnsi="Arial"/>
          <w:sz w:val="17"/>
          <w:szCs w:val="17"/>
          <w:color w:val="auto"/>
        </w:rPr>
        <w:t>The table below sets forth a calculation of basic earnings per share ("EPS") based on Net income attributable to SciPlay divided by the basic weighted average number of Class A common stock outstanding during the period. Diluted EPS of Class A common stock is computed by dividing Net income attributable to SciPlay by the weighted average number of shares of Class A common stock outstanding adjusted to give effect to all potentially dilutive securities, using the treasury stock method. No material number of restricted stock units was excluded from the calculation of diluted weighted-average common shares outstanding for the three-month periods ended March 31, 2023 and 2022.</w:t>
      </w:r>
    </w:p>
    <w:p>
      <w:pPr>
        <w:spacing w:after="0" w:line="203"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We excluded Class B common stock from the computation of basic and diluted EPS, as holders of Class B common stock do not have an economic interest in us, and, therefore, a separate presentation of EPS of Class B common stock under the two-class method has not been presented.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tbl>
      <w:tblPr>
        <w:tblLayout w:type="fixed"/>
        <w:tblInd w:w="40" w:type="dxa"/>
        <w:tblCellMar>
          <w:top w:w="0" w:type="dxa"/>
          <w:left w:w="0" w:type="dxa"/>
          <w:bottom w:w="0" w:type="dxa"/>
          <w:right w:w="0" w:type="dxa"/>
        </w:tblCellMar>
      </w:tblPr>
      <w:tr>
        <w:trPr>
          <w:trHeight w:val="210"/>
        </w:trPr>
        <w:tc>
          <w:tcPr>
            <w:tcW w:w="9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w w:val="98"/>
              </w:rPr>
              <w:t>Three Months Ended</w:t>
            </w:r>
          </w:p>
        </w:tc>
      </w:tr>
      <w:tr>
        <w:trPr>
          <w:trHeight w:val="219"/>
        </w:trPr>
        <w:tc>
          <w:tcPr>
            <w:tcW w:w="9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tcPr>
          <w:p>
            <w:pPr>
              <w:spacing w:after="0"/>
              <w:rPr>
                <w:sz w:val="19"/>
                <w:szCs w:val="19"/>
                <w:color w:val="auto"/>
              </w:rPr>
            </w:pPr>
          </w:p>
        </w:tc>
      </w:tr>
      <w:tr>
        <w:trPr>
          <w:trHeight w:val="210"/>
        </w:trPr>
        <w:tc>
          <w:tcPr>
            <w:tcW w:w="9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w w:val="89"/>
              </w:rPr>
              <w:t>2022</w:t>
            </w:r>
          </w:p>
        </w:tc>
      </w:tr>
      <w:tr>
        <w:trPr>
          <w:trHeight w:val="212"/>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the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Net income attributable to SciPlay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9040" w:type="dxa"/>
            <w:vAlign w:val="bottom"/>
          </w:tcPr>
          <w:p>
            <w:pPr>
              <w:ind w:left="80"/>
              <w:spacing w:after="0"/>
              <w:rPr>
                <w:sz w:val="20"/>
                <w:szCs w:val="20"/>
                <w:color w:val="auto"/>
              </w:rPr>
            </w:pPr>
            <w:r>
              <w:rPr>
                <w:rFonts w:ascii="Arial" w:cs="Arial" w:eastAsia="Arial" w:hAnsi="Arial"/>
                <w:sz w:val="18"/>
                <w:szCs w:val="18"/>
                <w:color w:val="auto"/>
              </w:rPr>
              <w:t>Weighted average shares of Class A common stock for basic EPS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9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Stock-based compensation grants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Weighted average shares of Class A common stock for diluted EPS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9040" w:type="dxa"/>
            <w:vAlign w:val="bottom"/>
          </w:tcPr>
          <w:p>
            <w:pPr>
              <w:spacing w:after="0"/>
              <w:rPr>
                <w:sz w:val="20"/>
                <w:szCs w:val="20"/>
                <w:color w:val="auto"/>
              </w:rPr>
            </w:pPr>
            <w:r>
              <w:rPr>
                <w:rFonts w:ascii="Arial" w:cs="Arial" w:eastAsia="Arial" w:hAnsi="Arial"/>
                <w:sz w:val="18"/>
                <w:szCs w:val="18"/>
                <w:color w:val="auto"/>
              </w:rPr>
              <w:t>Basic and diluted net income attributable to SciPlay per share: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9040" w:type="dxa"/>
            <w:vAlign w:val="bottom"/>
          </w:tcPr>
          <w:p>
            <w:pPr>
              <w:ind w:left="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Litigation</w:t>
      </w:r>
    </w:p>
    <w:p>
      <w:pPr>
        <w:spacing w:after="0" w:line="2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From time to time, we are subject to various claims, complaints and legal actions, including notifications of alleged infringement of patent or other intellectual property rights, in the normal course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Boorn Matter</w:t>
      </w:r>
    </w:p>
    <w:p>
      <w:pPr>
        <w:spacing w:after="0" w:line="25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September 15, 2022, plaintiff Hannelore Boorn filed a putative class action against Light &amp; Wonder, Inc., SciPlay Corporation, and Appchi Media Ltd. in the Fayette Circuit Court of the Commonwealth of Kentucky. In her complaint, plaintiff seeks to represent a putative class of all persons in Kentucky who, within the past five years, purchased and allegedly lost $5.00 or more worth of chips, in a 24-hour period, playing SciPlay's online social casino games. The complaint asserts claims for alleged violations of Kentucky’s “recovery of gambling losses” statute and for unjust enrichment, and seeks unspecified money damages, the award of reasonable attorneys' fees and costs, pre- and post-judgment interest, and injunctive and/or other declaratory relief. On October 18, 2022, defendants removed the action to the United States District Court for the Eastern District of Kentucky. On October 26, 2022, the plaintiff filed a notice voluntarily dismissing the lawsuit without prejudice. On October 27, 2022, the district court entered an order dismissing the lawsuit. On November 17, 2022, the plaintiff filed an arbitration demand against defendants before the American Arbitration Association, pursuant to which she seeks declaratory judgments that (1) SciPlay’s online social casino games constitute gambling under Kentucky law, and (2) SciPlay’s terms of service are void under Kentucky law. On January 12, 2023, the respondents filed their answering statement to plaintiff’s arbitration demand. We are currently unable to determine the likelihood of an outcome or estimate a range of reasonably possible losses, if any. We believe that the claims in the arbitration demand are without merit, and intend to vigorously defend against them.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Allah Beautiful Matter</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December 19, 2022, claimant Prince Imanifest Allah Beautiful filed an arbitration demand against respondent SciPlay Corporation before the American Arbitration Association. The complaint asserts claims for alleged violations of New Jersey’s anti-gambling statutes and seeks unspecified money damages, including recovery of monies allegedly lost by New Jersey players of SciPlay’s online social casino games other than the claimant. On March 7, 2023, the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Sprinkle Matter</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December 12, 2022, claimant Matthew Sprinkle filed an arbitration demand against respondent SciPlay Corporation before the American Arbitration Association. The complaint asserts claims for alleged violations of Ohio’s anti-</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t>gambling statutes and seeks unspecified money damages, including recovery of monies allegedly lost by Ohio players of SciPlay’s online social casino games other than the claimant. On March 7, 2023, the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Sornberger Matter</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March 8, 2023, plaintiff Andrea Sornberger filed a complaint against SciPlay Corporation and SciPlay Games LLC in the Circuit Court of the Franklin County, Alabama. The complaint asserts claims for alleged violations of Alabama anti-gambling statutes and seeks unspecified money damages, including recovery of monies allegedly lost by Alabama’s players of SciPlay’s online social casino games other than the plaintiff, the award of interests and costs, and injunctive and other relief. On April 12, 2023, defendants removed the action to the United States District Court for the Northern District of Alabama. We are currently unable to determine the likelihood of an outcome or estimate a range of reasonably possible losses, if any. We believe that the claims in the lawsuit are without merit and intend to vigorously defend against them.</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following discussion is intended to enhance the reader’s understanding of our operations and current business environment from management’s perspective and should be read in conjunction with the description of our business included under Part I, Item 1 “Condensed Consolidated Financial Statements” and Part II, Item 1A “Risk Factors” in this Quarterly Report on Form 10-Q and under Part I, Item 1 “Business”, Item 1A “Risk Factors” and Part II, Item 7 “Management’s Discussion and Analysis of Financial Condition and Results of Operations” included in our 2022 Form 10-K. The terms “we” and “our” as used herein refer to SciPlay and its consolidated subsidiaries.</w:t>
      </w:r>
    </w:p>
    <w:p>
      <w:pPr>
        <w:spacing w:after="0" w:line="21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2022 Form 10-K.</w:t>
      </w:r>
    </w:p>
    <w:p>
      <w:pPr>
        <w:spacing w:after="0" w:line="21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You can access our filings with the SEC through the SEC website at https://www.sec.gov or through our website, and we strongly encourage you to do so. We routinely post information that may be important to investors on our website at https://www.sciplay.com/investors/,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60" w:firstLine="648"/>
        <w:spacing w:after="0" w:line="278" w:lineRule="auto"/>
        <w:rPr>
          <w:sz w:val="20"/>
          <w:szCs w:val="20"/>
          <w:color w:val="auto"/>
        </w:rPr>
      </w:pPr>
      <w:r>
        <w:rPr>
          <w:rFonts w:ascii="Arial" w:cs="Arial" w:eastAsia="Arial" w:hAnsi="Arial"/>
          <w:sz w:val="16"/>
          <w:szCs w:val="16"/>
          <w:color w:val="auto"/>
        </w:rPr>
        <w:t>We are a leading developer and publisher of digital games on mobile and web platforms. We operate primarily in the social gaming market, which is characterized by gameplay online or on mobile devices that is social, competitive and self-directed in pace and session length. We also operate in the hyper-casual space, which is characterized by simpler core loops and more repetitive gameplay than casual games. We generate a substantial portion of our revenue from in-app purchases in the form of coins, chips and cards, which players can use to play slot games, table games or bingo games. Players who install our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extend their time of game play. Once obtained, coins, chips and cards (either free or purchased) cannot be redeemed for cash nor exchanged for anything other than game play within our apps. We generate additional revenue through advertising arrangements in our hyper-casual games. Players who install our hyper-casual games receive free, unlimited gameplay that requires viewing of periodic in-game advertisements.</w:t>
      </w:r>
    </w:p>
    <w:p>
      <w:pPr>
        <w:spacing w:after="0" w:line="188" w:lineRule="exact"/>
        <w:rPr>
          <w:sz w:val="20"/>
          <w:szCs w:val="20"/>
          <w:color w:val="auto"/>
        </w:rPr>
      </w:pPr>
    </w:p>
    <w:p>
      <w:pPr>
        <w:ind w:firstLine="648"/>
        <w:spacing w:after="0" w:line="262" w:lineRule="auto"/>
        <w:rPr>
          <w:sz w:val="20"/>
          <w:szCs w:val="20"/>
          <w:color w:val="auto"/>
        </w:rPr>
      </w:pPr>
      <w:r>
        <w:rPr>
          <w:rFonts w:ascii="Arial" w:cs="Arial" w:eastAsia="Arial" w:hAnsi="Arial"/>
          <w:sz w:val="17"/>
          <w:szCs w:val="17"/>
          <w:color w:val="auto"/>
        </w:rPr>
        <w:t xml:space="preserve">We currently offer a variety of social casino games, including </w:t>
      </w:r>
      <w:r>
        <w:rPr>
          <w:rFonts w:ascii="Arial" w:cs="Arial" w:eastAsia="Arial" w:hAnsi="Arial"/>
          <w:sz w:val="17"/>
          <w:szCs w:val="17"/>
          <w:i w:val="1"/>
          <w:iCs w:val="1"/>
          <w:color w:val="auto"/>
        </w:rPr>
        <w:t>Jackpot Party® Casino, Gold Fish® Casino, Quick Hit® Slots, 88 Fortunes® Slots,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MONOPOLY® Slots </w:t>
      </w:r>
      <w:r>
        <w:rPr>
          <w:rFonts w:ascii="Arial" w:cs="Arial" w:eastAsia="Arial" w:hAnsi="Arial"/>
          <w:sz w:val="17"/>
          <w:szCs w:val="17"/>
          <w:color w:val="auto"/>
        </w:rPr>
        <w:t>and</w:t>
      </w:r>
      <w:r>
        <w:rPr>
          <w:rFonts w:ascii="Arial" w:cs="Arial" w:eastAsia="Arial" w:hAnsi="Arial"/>
          <w:sz w:val="17"/>
          <w:szCs w:val="17"/>
          <w:i w:val="1"/>
          <w:iCs w:val="1"/>
          <w:color w:val="auto"/>
        </w:rPr>
        <w:t xml:space="preserve"> Hot Shot Casino®</w:t>
      </w:r>
      <w:r>
        <w:rPr>
          <w:rFonts w:ascii="Arial" w:cs="Arial" w:eastAsia="Arial" w:hAnsi="Arial"/>
          <w:sz w:val="17"/>
          <w:szCs w:val="17"/>
          <w:color w:val="auto"/>
        </w:rPr>
        <w:t>. We continue to pursue our strategy of expanding into the casual games market. Current casual game titles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include </w:t>
      </w:r>
      <w:r>
        <w:rPr>
          <w:rFonts w:ascii="Arial" w:cs="Arial" w:eastAsia="Arial" w:hAnsi="Arial"/>
          <w:sz w:val="17"/>
          <w:szCs w:val="17"/>
          <w:i w:val="1"/>
          <w:iCs w:val="1"/>
          <w:color w:val="auto"/>
        </w:rPr>
        <w:t>Bingo Showdown®, Solitaire Pets™ Adventure</w:t>
      </w:r>
      <w:r>
        <w:rPr>
          <w:rFonts w:ascii="Arial" w:cs="Arial" w:eastAsia="Arial" w:hAnsi="Arial"/>
          <w:sz w:val="17"/>
          <w:szCs w:val="17"/>
          <w:color w:val="auto"/>
        </w:rPr>
        <w:t xml:space="preserve"> and </w:t>
      </w:r>
      <w:r>
        <w:rPr>
          <w:rFonts w:ascii="Arial" w:cs="Arial" w:eastAsia="Arial" w:hAnsi="Arial"/>
          <w:sz w:val="17"/>
          <w:szCs w:val="17"/>
          <w:i w:val="1"/>
          <w:iCs w:val="1"/>
          <w:color w:val="auto"/>
        </w:rPr>
        <w:t>Backgammon Live</w:t>
      </w:r>
      <w:r>
        <w:rPr>
          <w:rFonts w:ascii="Arial" w:cs="Arial" w:eastAsia="Arial" w:hAnsi="Arial"/>
          <w:sz w:val="17"/>
          <w:szCs w:val="17"/>
          <w:color w:val="auto"/>
        </w:rPr>
        <w:t xml:space="preserve"> as well as other titles in the hyper-casual space, including games such as </w:t>
      </w:r>
      <w:r>
        <w:rPr>
          <w:rFonts w:ascii="Arial" w:cs="Arial" w:eastAsia="Arial" w:hAnsi="Arial"/>
          <w:sz w:val="17"/>
          <w:szCs w:val="17"/>
          <w:i w:val="1"/>
          <w:iCs w:val="1"/>
          <w:color w:val="auto"/>
        </w:rPr>
        <w:t>Candy Challenge 3D™</w:t>
      </w:r>
      <w:r>
        <w:rPr>
          <w:rFonts w:ascii="Arial" w:cs="Arial" w:eastAsia="Arial" w:hAnsi="Arial"/>
          <w:sz w:val="17"/>
          <w:szCs w:val="17"/>
          <w:color w:val="auto"/>
        </w:rPr>
        <w:t>,</w:t>
      </w:r>
      <w:r>
        <w:rPr>
          <w:rFonts w:ascii="Arial" w:cs="Arial" w:eastAsia="Arial" w:hAnsi="Arial"/>
          <w:sz w:val="17"/>
          <w:szCs w:val="17"/>
          <w:i w:val="1"/>
          <w:iCs w:val="1"/>
          <w:color w:val="auto"/>
        </w:rPr>
        <w:t xml:space="preserve"> Boss Life™ </w:t>
      </w:r>
      <w:r>
        <w:rPr>
          <w:rFonts w:ascii="Arial" w:cs="Arial" w:eastAsia="Arial" w:hAnsi="Arial"/>
          <w:sz w:val="17"/>
          <w:szCs w:val="17"/>
          <w:color w:val="auto"/>
        </w:rPr>
        <w:t>and</w:t>
      </w:r>
      <w:r>
        <w:rPr>
          <w:rFonts w:ascii="Arial" w:cs="Arial" w:eastAsia="Arial" w:hAnsi="Arial"/>
          <w:sz w:val="17"/>
          <w:szCs w:val="17"/>
          <w:i w:val="1"/>
          <w:iCs w:val="1"/>
          <w:color w:val="auto"/>
        </w:rPr>
        <w:t xml:space="preserve"> Deep Clean Inc. 3D™</w:t>
      </w:r>
      <w:r>
        <w:rPr>
          <w:rFonts w:ascii="Arial" w:cs="Arial" w:eastAsia="Arial" w:hAnsi="Arial"/>
          <w:sz w:val="17"/>
          <w:szCs w:val="17"/>
          <w:color w:val="auto"/>
        </w:rPr>
        <w:t>. During the three months ended March 31, 2023, we continued development and testing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SpellSpinner: Fantasy Quest, as well as other new games. Our social casino games typically include slots-style game play and occasionally include table games-style game play, while our casual games blend solitaire-style or bingo game play with adventure game features and our hyper-casual games include many simple core loop mechanics. All of our games are offered and played across multiple platforms, including Apple, Google, Facebook, Amazon and Microsoft. In addition to our internally created game content, our content library includes recognizable game content from Light &amp; Wonder. This content allows players who like playing land-based game content to enjoy some of those same titles in our free-to-play games. We have access to Light &amp; Wonder’s library of more than 1,500 iconic casino titles, including titles and content from third-party licensed brands such as </w:t>
      </w:r>
      <w:r>
        <w:rPr>
          <w:rFonts w:ascii="Arial" w:cs="Arial" w:eastAsia="Arial" w:hAnsi="Arial"/>
          <w:sz w:val="17"/>
          <w:szCs w:val="17"/>
          <w:i w:val="1"/>
          <w:iCs w:val="1"/>
          <w:color w:val="auto"/>
        </w:rPr>
        <w:t>MONOPOLY</w:t>
      </w:r>
      <w:r>
        <w:rPr>
          <w:rFonts w:ascii="Arial" w:cs="Arial" w:eastAsia="Arial" w:hAnsi="Arial"/>
          <w:sz w:val="17"/>
          <w:szCs w:val="17"/>
          <w:color w:val="auto"/>
        </w:rPr>
        <w:t xml:space="preserve">™ and </w:t>
      </w:r>
      <w:r>
        <w:rPr>
          <w:rFonts w:ascii="Arial" w:cs="Arial" w:eastAsia="Arial" w:hAnsi="Arial"/>
          <w:sz w:val="17"/>
          <w:szCs w:val="17"/>
          <w:i w:val="1"/>
          <w:iCs w:val="1"/>
          <w:color w:val="auto"/>
        </w:rPr>
        <w:t>JAMES BOND</w:t>
      </w:r>
      <w:r>
        <w:rPr>
          <w:rFonts w:ascii="Arial" w:cs="Arial" w:eastAsia="Arial" w:hAnsi="Arial"/>
          <w:sz w:val="17"/>
          <w:szCs w:val="17"/>
          <w:color w:val="auto"/>
        </w:rPr>
        <w:t>™</w:t>
      </w:r>
      <w:r>
        <w:rPr>
          <w:rFonts w:ascii="Arial" w:cs="Arial" w:eastAsia="Arial" w:hAnsi="Arial"/>
          <w:sz w:val="22"/>
          <w:szCs w:val="22"/>
          <w:color w:val="auto"/>
          <w:vertAlign w:val="superscript"/>
        </w:rPr>
        <w:t>(1)</w:t>
      </w:r>
      <w:r>
        <w:rPr>
          <w:rFonts w:ascii="Arial" w:cs="Arial" w:eastAsia="Arial" w:hAnsi="Arial"/>
          <w:sz w:val="17"/>
          <w:szCs w:val="17"/>
          <w:color w:val="auto"/>
        </w:rPr>
        <w:t>. We believe our access to this content, coupled with our years of experience developing in-house content, uniquely positions us to create compelling digital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30861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firstLine="8"/>
        <w:spacing w:after="0"/>
        <w:tabs>
          <w:tab w:leader="none" w:pos="145"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MONOPOLY</w:t>
      </w:r>
      <w:r>
        <w:rPr>
          <w:rFonts w:ascii="Arial" w:cs="Arial" w:eastAsia="Arial" w:hAnsi="Arial"/>
          <w:sz w:val="12"/>
          <w:szCs w:val="12"/>
          <w:color w:val="auto"/>
        </w:rPr>
        <w:t xml:space="preserve"> name and logo, the distinctive design of the game board, the four corner squares, the </w:t>
      </w:r>
      <w:r>
        <w:rPr>
          <w:rFonts w:ascii="Arial" w:cs="Arial" w:eastAsia="Arial" w:hAnsi="Arial"/>
          <w:sz w:val="12"/>
          <w:szCs w:val="12"/>
          <w:i w:val="1"/>
          <w:iCs w:val="1"/>
          <w:color w:val="auto"/>
        </w:rPr>
        <w:t>MR. MONOPOLY</w:t>
      </w:r>
      <w:r>
        <w:rPr>
          <w:rFonts w:ascii="Arial" w:cs="Arial" w:eastAsia="Arial" w:hAnsi="Arial"/>
          <w:sz w:val="12"/>
          <w:szCs w:val="12"/>
          <w:color w:val="auto"/>
        </w:rPr>
        <w:t xml:space="preserve"> name and character, as well as each of the distinctive elements of the board, cards and the playing pieces are trademarks of Hasbro for its property trading game and game equipment and are used with permission. © 1935, 2023 Hasbro. All Rights Reserved. Licensed by Hasbro.</w:t>
      </w:r>
    </w:p>
    <w:p>
      <w:pPr>
        <w:spacing w:after="0" w:line="385" w:lineRule="exact"/>
        <w:rPr>
          <w:sz w:val="20"/>
          <w:szCs w:val="20"/>
          <w:color w:val="auto"/>
        </w:rPr>
      </w:pPr>
    </w:p>
    <w:p>
      <w:pPr>
        <w:spacing w:after="0"/>
        <w:rPr>
          <w:sz w:val="20"/>
          <w:szCs w:val="20"/>
          <w:color w:val="auto"/>
        </w:rPr>
      </w:pPr>
      <w:r>
        <w:rPr>
          <w:sz w:val="1"/>
          <w:szCs w:val="1"/>
          <w:color w:val="auto"/>
        </w:rPr>
        <w:drawing>
          <wp:inline distT="0" distB="0" distL="0" distR="0">
            <wp:extent cx="299720" cy="1111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9720" cy="111125"/>
                    </a:xfrm>
                    <a:prstGeom prst="rect">
                      <a:avLst/>
                    </a:prstGeom>
                    <a:noFill/>
                    <a:ln>
                      <a:noFill/>
                    </a:ln>
                  </pic:spPr>
                </pic:pic>
              </a:graphicData>
            </a:graphic>
          </wp:inline>
        </w:drawing>
      </w:r>
      <w:r>
        <w:rPr>
          <w:rFonts w:ascii="Arial" w:cs="Arial" w:eastAsia="Arial" w:hAnsi="Arial"/>
          <w:sz w:val="14"/>
          <w:szCs w:val="14"/>
          <w:color w:val="auto"/>
        </w:rPr>
        <w:t xml:space="preserve">and James Bond indicia © 1962-2023 Danjaq, LLC and MGM. </w:t>
      </w:r>
      <w:r>
        <w:rPr>
          <w:sz w:val="1"/>
          <w:szCs w:val="1"/>
          <w:color w:val="auto"/>
        </w:rPr>
        <w:drawing>
          <wp:inline distT="0" distB="0" distL="0" distR="0">
            <wp:extent cx="300355" cy="1111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0355" cy="111125"/>
                    </a:xfrm>
                    <a:prstGeom prst="rect">
                      <a:avLst/>
                    </a:prstGeom>
                    <a:noFill/>
                    <a:ln>
                      <a:noFill/>
                    </a:ln>
                  </pic:spPr>
                </pic:pic>
              </a:graphicData>
            </a:graphic>
          </wp:inline>
        </w:drawing>
      </w:r>
      <w:r>
        <w:rPr>
          <w:rFonts w:ascii="Arial" w:cs="Arial" w:eastAsia="Arial" w:hAnsi="Arial"/>
          <w:sz w:val="14"/>
          <w:szCs w:val="14"/>
          <w:color w:val="auto"/>
        </w:rPr>
        <w:t xml:space="preserve"> and all other James Bond related trademarks are trademarks of Danjaq, LLC. All Rights Reserved.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firstLine="648"/>
        <w:spacing w:after="0" w:line="261" w:lineRule="auto"/>
        <w:rPr>
          <w:sz w:val="20"/>
          <w:szCs w:val="20"/>
          <w:color w:val="auto"/>
        </w:rPr>
      </w:pPr>
      <w:r>
        <w:rPr>
          <w:rFonts w:ascii="Arial" w:cs="Arial" w:eastAsia="Arial" w:hAnsi="Arial"/>
          <w:sz w:val="17"/>
          <w:szCs w:val="17"/>
          <w:color w:val="auto"/>
        </w:rPr>
        <w:t>On May 9, 2022 our Board of Directors approved a share repurchase program under which the Company is authorized to repurchase, from time to time through May 9, 2024, up to an aggregate amount of $60.0 million of our outstanding Class A common stock (see Note 6). During the three months ended March 31, 2023, we returned $8.2 million of capital to shareholders through the repurchase of 0.5 million shares of Class A common stock. Since the initiation of the program on May 9, 2022 and through May 9, 2023, we returned $60.0 million of capital to shareholders through the repurchase of approximately 4.1 million shares of Class A common stock, completing the initial share repurchase program authorization. On May 3, 2023, our Board of Directors approved a new share repurchase program under which the Company is authorized to repurchase, from time to time through May 3, 2024, up to an aggregate amount of $60.0 million of our outstanding Class A common stock.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Results of Operations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left="92"/>
              <w:spacing w:after="0"/>
              <w:rPr>
                <w:sz w:val="20"/>
                <w:szCs w:val="20"/>
                <w:color w:val="auto"/>
              </w:rPr>
            </w:pPr>
            <w:r>
              <w:rPr>
                <w:rFonts w:ascii="Arial" w:cs="Arial" w:eastAsia="Arial" w:hAnsi="Arial"/>
                <w:sz w:val="16"/>
                <w:szCs w:val="16"/>
                <w:b w:val="1"/>
                <w:bCs w:val="1"/>
                <w:color w:val="auto"/>
                <w:w w:val="89"/>
              </w:rPr>
              <w:t>Variance</w:t>
            </w:r>
          </w:p>
        </w:tc>
        <w:tc>
          <w:tcPr>
            <w:tcW w:w="440" w:type="dxa"/>
            <w:vAlign w:val="bottom"/>
            <w:tcBorders>
              <w:bottom w:val="single" w:sz="8" w:color="auto"/>
            </w:tcBorders>
          </w:tcPr>
          <w:p>
            <w:pPr>
              <w:spacing w:after="0"/>
              <w:rPr>
                <w:sz w:val="18"/>
                <w:szCs w:val="18"/>
                <w:color w:val="auto"/>
              </w:rPr>
            </w:pPr>
          </w:p>
        </w:tc>
      </w:tr>
      <w:tr>
        <w:trPr>
          <w:trHeight w:val="21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in millions)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left="92"/>
              <w:spacing w:after="0"/>
              <w:rPr>
                <w:sz w:val="20"/>
                <w:szCs w:val="20"/>
                <w:color w:val="auto"/>
              </w:rPr>
            </w:pPr>
            <w:r>
              <w:rPr>
                <w:rFonts w:ascii="Arial" w:cs="Arial" w:eastAsia="Arial" w:hAnsi="Arial"/>
                <w:sz w:val="16"/>
                <w:szCs w:val="16"/>
                <w:b w:val="1"/>
                <w:bCs w:val="1"/>
                <w:color w:val="auto"/>
                <w:w w:val="89"/>
              </w:rPr>
              <w:t>2023 vs. 2022</w:t>
            </w:r>
          </w:p>
        </w:tc>
        <w:tc>
          <w:tcPr>
            <w:tcW w:w="440" w:type="dxa"/>
            <w:vAlign w:val="bottom"/>
            <w:tcBorders>
              <w:bottom w:val="single" w:sz="8" w:color="auto"/>
            </w:tcBorders>
          </w:tcPr>
          <w:p>
            <w:pPr>
              <w:spacing w:after="0"/>
              <w:rPr>
                <w:sz w:val="18"/>
                <w:szCs w:val="18"/>
                <w:color w:val="auto"/>
              </w:rPr>
            </w:pPr>
          </w:p>
        </w:tc>
      </w:tr>
      <w:tr>
        <w:trPr>
          <w:trHeight w:val="22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28.4</w:t>
            </w: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18 %</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146.7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23.4</w:t>
            </w:r>
          </w:p>
        </w:tc>
        <w:tc>
          <w:tcPr>
            <w:tcW w:w="4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19 %</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14 %</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31 %</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SciPlay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25 %</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AEBITDA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21 %</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margin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2.1 pp</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AEBITDA margin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ind w:left="260"/>
              <w:spacing w:after="0"/>
              <w:rPr>
                <w:sz w:val="20"/>
                <w:szCs w:val="20"/>
                <w:color w:val="auto"/>
              </w:rPr>
            </w:pPr>
            <w:r>
              <w:rPr>
                <w:rFonts w:ascii="Arial" w:cs="Arial" w:eastAsia="Arial" w:hAnsi="Arial"/>
                <w:sz w:val="18"/>
                <w:szCs w:val="18"/>
                <w:color w:val="auto"/>
              </w:rPr>
              <w:t>0.7 pp</w:t>
            </w:r>
          </w:p>
        </w:tc>
        <w:tc>
          <w:tcPr>
            <w:tcW w:w="440" w:type="dxa"/>
            <w:vAlign w:val="bottom"/>
          </w:tcPr>
          <w:p>
            <w:pPr>
              <w:jc w:val="right"/>
              <w:spacing w:after="0"/>
              <w:rPr>
                <w:sz w:val="20"/>
                <w:szCs w:val="20"/>
                <w:color w:val="auto"/>
              </w:rPr>
            </w:pPr>
            <w:r>
              <w:rPr>
                <w:rFonts w:ascii="Arial" w:cs="Arial" w:eastAsia="Arial" w:hAnsi="Arial"/>
                <w:sz w:val="18"/>
                <w:szCs w:val="18"/>
                <w:color w:val="auto"/>
              </w:rPr>
              <w:t>nm</w:t>
            </w:r>
          </w:p>
        </w:tc>
      </w:tr>
    </w:tbl>
    <w:p>
      <w:pPr>
        <w:ind w:left="40" w:right="9860" w:hanging="1"/>
        <w:spacing w:after="0" w:line="324" w:lineRule="auto"/>
        <w:tabs>
          <w:tab w:leader="none" w:pos="2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 percentage points. nm = not meaningful.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Measures</w:t>
      </w:r>
    </w:p>
    <w:p>
      <w:pPr>
        <w:spacing w:after="0" w:line="252"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Adjusted EBITDA, or AEBITDA, as used herein, is a non-GAAP financial measure that is presented as supplemental disclosure and is reconciled to net income attributable to SciPlay as the most directly comparable GAAP measure as set forth in the below table. We define AEBITDA to include net income attributable to SciPlay before: (1) net income attributable to noncontrolling interest; (2) interest expense; (3) income tax expense; (4) depreciation and amortization; (5) restructuring and other, which includes charges or expenses attributable to: (a) employee severance; (b) management changes;</w:t>
      </w:r>
    </w:p>
    <w:p>
      <w:pPr>
        <w:spacing w:after="0" w:line="1" w:lineRule="exact"/>
        <w:rPr>
          <w:sz w:val="20"/>
          <w:szCs w:val="20"/>
          <w:color w:val="auto"/>
        </w:rPr>
      </w:pPr>
    </w:p>
    <w:p>
      <w:pPr>
        <w:ind w:right="620" w:firstLine="8"/>
        <w:spacing w:after="0" w:line="281" w:lineRule="auto"/>
        <w:tabs>
          <w:tab w:leader="none" w:pos="245"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restructuring and integration; (d) M&amp;A and other, which includes: (i) M&amp;A transaction costs; (ii) purchase accounting adjustments (including contingent acquisition consideration); (iii) unusual items (including legal settlements related to major litigation); and (iv) other non-cash items; and</w:t>
      </w:r>
    </w:p>
    <w:p>
      <w:pPr>
        <w:spacing w:after="0" w:line="1" w:lineRule="exact"/>
        <w:rPr>
          <w:rFonts w:ascii="Arial" w:cs="Arial" w:eastAsia="Arial" w:hAnsi="Arial"/>
          <w:sz w:val="16"/>
          <w:szCs w:val="16"/>
          <w:color w:val="auto"/>
        </w:rPr>
      </w:pPr>
    </w:p>
    <w:p>
      <w:pPr>
        <w:ind w:firstLine="8"/>
        <w:spacing w:after="0" w:line="323" w:lineRule="auto"/>
        <w:tabs>
          <w:tab w:leader="none" w:pos="2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cost-savings initiatives; (6) stock-based compensation; (7) loss or gain on debt financing transactions; and (8) other expense or income including foreign currency gains and losses. We also use AEBITDA margin, a non-GAAP measure, which we calculate as AEBITDA as a percentage of revenue.</w:t>
      </w:r>
    </w:p>
    <w:p>
      <w:pPr>
        <w:spacing w:after="0" w:line="16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Our management uses AEBITDA and AEBITDA margin to, among other things: (i) monitor and evaluate the performance of our business operations; (ii) facilitate our management’s internal comparisons of our historical operating performance and (iii) analyze and evaluate financial and strategic planning decisions regarding future operating investments and operating budgets. In addition, our management uses AEBITDA and AEBITDA margin to facilitate management’s external comparisons of our results to the historical operating performance of other companies that may have different capital structures and debt levels.</w:t>
      </w:r>
    </w:p>
    <w:p>
      <w:pPr>
        <w:spacing w:after="0" w:line="21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management believes that AEBITDA and AEBITDA margin are useful as they provide investors with information regarding our financial condition and operating performance that is an integral part of our management’s reporting and planning processes. In particular, our management believes that AEBITDA is helpful because this non-GAAP</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21" w:name="page22"/>
    <w:bookmarkEnd w:id="21"/>
    <w:p>
      <w:pPr>
        <w:ind w:right="80"/>
        <w:spacing w:after="0" w:line="263" w:lineRule="auto"/>
        <w:rPr>
          <w:sz w:val="20"/>
          <w:szCs w:val="20"/>
          <w:color w:val="auto"/>
        </w:rPr>
      </w:pPr>
      <w:r>
        <w:rPr>
          <w:rFonts w:ascii="Arial" w:cs="Arial" w:eastAsia="Arial" w:hAnsi="Arial"/>
          <w:sz w:val="18"/>
          <w:szCs w:val="18"/>
          <w:color w:val="auto"/>
        </w:rPr>
        <w:t>financial measure eliminates the effects of restructuring, transaction, integration or other items that management believes have less bearing on our ongoing underlying operating performance. Management believes AEBITDA margin is useful as it provides investors with information regarding the underlying operating performance and margin generated by our business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Net income attributable to SciPlay to AEBITDA and AEBITDA margin: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7"/>
          </w:tcPr>
          <w:p>
            <w:pPr>
              <w:jc w:val="right"/>
              <w:ind w:right="49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 in millions, except percentages)</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40" w:type="dxa"/>
            <w:vAlign w:val="bottom"/>
            <w:tcBorders>
              <w:right w:val="single" w:sz="8" w:color="CCEEFF"/>
            </w:tcBorders>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SciPlay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33"/>
              <w:spacing w:after="0"/>
              <w:rPr>
                <w:sz w:val="20"/>
                <w:szCs w:val="20"/>
                <w:color w:val="auto"/>
              </w:rPr>
            </w:pPr>
            <w:r>
              <w:rPr>
                <w:rFonts w:ascii="Arial" w:cs="Arial" w:eastAsia="Arial" w:hAnsi="Arial"/>
                <w:sz w:val="18"/>
                <w:szCs w:val="18"/>
                <w:color w:val="auto"/>
                <w:w w:val="87"/>
              </w:rPr>
              <w:t>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33"/>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Restructuring and other</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3"/>
          </w:tcPr>
          <w:p>
            <w:pPr>
              <w:jc w:val="right"/>
              <w:ind w:right="133"/>
              <w:spacing w:after="0"/>
              <w:rPr>
                <w:sz w:val="20"/>
                <w:szCs w:val="20"/>
                <w:color w:val="auto"/>
              </w:rPr>
            </w:pPr>
            <w:r>
              <w:rPr>
                <w:rFonts w:ascii="Arial" w:cs="Arial" w:eastAsia="Arial" w:hAnsi="Arial"/>
                <w:sz w:val="18"/>
                <w:szCs w:val="18"/>
                <w:color w:val="auto"/>
                <w:w w:val="87"/>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33"/>
              <w:spacing w:after="0"/>
              <w:rPr>
                <w:sz w:val="20"/>
                <w:szCs w:val="20"/>
                <w:color w:val="auto"/>
              </w:rPr>
            </w:pPr>
            <w:r>
              <w:rPr>
                <w:rFonts w:ascii="Arial" w:cs="Arial" w:eastAsia="Arial" w:hAnsi="Arial"/>
                <w:sz w:val="18"/>
                <w:szCs w:val="18"/>
                <w:color w:val="auto"/>
                <w:w w:val="87"/>
              </w:rPr>
              <w:t>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3"/>
          </w:tcPr>
          <w:p>
            <w:pPr>
              <w:jc w:val="right"/>
              <w:ind w:right="133"/>
              <w:spacing w:after="0"/>
              <w:rPr>
                <w:sz w:val="20"/>
                <w:szCs w:val="20"/>
                <w:color w:val="auto"/>
              </w:rPr>
            </w:pPr>
            <w:r>
              <w:rPr>
                <w:rFonts w:ascii="Arial" w:cs="Arial" w:eastAsia="Arial" w:hAnsi="Arial"/>
                <w:sz w:val="18"/>
                <w:szCs w:val="18"/>
                <w:color w:val="auto"/>
                <w:w w:val="87"/>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33"/>
              <w:spacing w:after="0"/>
              <w:rPr>
                <w:sz w:val="20"/>
                <w:szCs w:val="20"/>
                <w:color w:val="auto"/>
              </w:rPr>
            </w:pPr>
            <w:r>
              <w:rPr>
                <w:rFonts w:ascii="Arial" w:cs="Arial" w:eastAsia="Arial" w:hAnsi="Arial"/>
                <w:sz w:val="18"/>
                <w:szCs w:val="18"/>
                <w:color w:val="auto"/>
                <w:w w:val="87"/>
              </w:rPr>
              <w:t>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AEBITDA</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4"/>
            <w:shd w:val="clear" w:color="auto" w:fill="CCEEFF"/>
          </w:tcPr>
          <w:p>
            <w:pPr>
              <w:jc w:val="right"/>
              <w:ind w:right="133"/>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7240" w:type="dxa"/>
            <w:vAlign w:val="bottom"/>
            <w:tcBorders>
              <w:top w:val="single" w:sz="8" w:color="CCEEFF"/>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4"/>
          </w:tcPr>
          <w:p>
            <w:pPr>
              <w:jc w:val="right"/>
              <w:ind w:right="133"/>
              <w:spacing w:after="0" w:line="203" w:lineRule="exact"/>
              <w:rPr>
                <w:sz w:val="20"/>
                <w:szCs w:val="20"/>
                <w:color w:val="auto"/>
              </w:rPr>
            </w:pPr>
            <w:r>
              <w:rPr>
                <w:rFonts w:ascii="Arial" w:cs="Arial" w:eastAsia="Arial" w:hAnsi="Arial"/>
                <w:sz w:val="18"/>
                <w:szCs w:val="18"/>
                <w:color w:val="auto"/>
              </w:rPr>
              <w:t>186.4</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2"/>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margin (Net income/Revenue)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AEBITDA margin (AEBITDA/Revenue)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28.7 %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553"/>
        </w:trPr>
        <w:tc>
          <w:tcPr>
            <w:tcW w:w="7280" w:type="dxa"/>
            <w:vAlign w:val="bottom"/>
            <w:gridSpan w:val="2"/>
          </w:tcPr>
          <w:p>
            <w:pPr>
              <w:spacing w:after="0"/>
              <w:rPr>
                <w:sz w:val="20"/>
                <w:szCs w:val="20"/>
                <w:color w:val="auto"/>
              </w:rPr>
            </w:pPr>
            <w:r>
              <w:rPr>
                <w:rFonts w:ascii="Arial" w:cs="Arial" w:eastAsia="Arial" w:hAnsi="Arial"/>
                <w:sz w:val="18"/>
                <w:szCs w:val="18"/>
                <w:i w:val="1"/>
                <w:iCs w:val="1"/>
                <w:color w:val="auto"/>
              </w:rPr>
              <w:t>Revenue, Key Performance Indicators and Other Metrics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5"/>
          </w:tcPr>
          <w:p>
            <w:pPr>
              <w:jc w:val="right"/>
              <w:ind w:right="232"/>
              <w:spacing w:after="0"/>
              <w:rPr>
                <w:sz w:val="20"/>
                <w:szCs w:val="20"/>
                <w:color w:val="auto"/>
              </w:rPr>
            </w:pPr>
            <w:r>
              <w:rPr>
                <w:rFonts w:ascii="Arial" w:cs="Arial" w:eastAsia="Arial" w:hAnsi="Arial"/>
                <w:sz w:val="16"/>
                <w:szCs w:val="16"/>
                <w:b w:val="1"/>
                <w:bCs w:val="1"/>
                <w:color w:val="auto"/>
                <w:w w:val="98"/>
              </w:rPr>
              <w:t>Three Months Ended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March 31,</w:t>
            </w: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51"/>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 in millions)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89"/>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6"/>
                <w:szCs w:val="16"/>
                <w:b w:val="1"/>
                <w:bCs w:val="1"/>
                <w:color w:val="auto"/>
                <w:w w:val="93"/>
              </w:rPr>
              <w:t>2023 vs. 2022</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Mobile in-app purchases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26.0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40" w:type="dxa"/>
            <w:vAlign w:val="bottom"/>
          </w:tcPr>
          <w:p>
            <w:pPr>
              <w:spacing w:after="0" w:line="230" w:lineRule="exact"/>
              <w:rPr>
                <w:sz w:val="20"/>
                <w:szCs w:val="20"/>
                <w:color w:val="auto"/>
              </w:rPr>
            </w:pPr>
            <w:r>
              <w:rPr>
                <w:rFonts w:ascii="Arial" w:cs="Arial" w:eastAsia="Arial" w:hAnsi="Arial"/>
                <w:sz w:val="18"/>
                <w:szCs w:val="18"/>
                <w:color w:val="auto"/>
              </w:rPr>
              <w:t>Web in-app purchases and other</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96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186.4</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28.4</w:t>
            </w:r>
          </w:p>
        </w:tc>
        <w:tc>
          <w:tcPr>
            <w:tcW w:w="96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10628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240" w:hanging="140"/>
        <w:spacing w:after="0"/>
        <w:tabs>
          <w:tab w:leader="none" w:pos="24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Other primarily represents advertising revenue, which was not material in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-102870</wp:posOffset>
            </wp:positionV>
            <wp:extent cx="19030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information by geography is summarized as follows: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Variance</w:t>
            </w:r>
          </w:p>
        </w:tc>
        <w:tc>
          <w:tcPr>
            <w:tcW w:w="460" w:type="dxa"/>
            <w:vAlign w:val="bottom"/>
            <w:tcBorders>
              <w:bottom w:val="single" w:sz="8" w:color="auto"/>
            </w:tcBorders>
          </w:tcPr>
          <w:p>
            <w:pPr>
              <w:spacing w:after="0"/>
              <w:rPr>
                <w:sz w:val="18"/>
                <w:szCs w:val="18"/>
                <w:color w:val="auto"/>
              </w:rPr>
            </w:pPr>
          </w:p>
        </w:tc>
      </w:tr>
      <w:tr>
        <w:trPr>
          <w:trHeight w:val="213"/>
        </w:trPr>
        <w:tc>
          <w:tcPr>
            <w:tcW w:w="72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 in millions)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2023 vs. 2022</w:t>
            </w:r>
          </w:p>
        </w:tc>
      </w:tr>
      <w:tr>
        <w:trPr>
          <w:trHeight w:val="226"/>
        </w:trPr>
        <w:tc>
          <w:tcPr>
            <w:tcW w:w="7240" w:type="dxa"/>
            <w:vAlign w:val="bottom"/>
            <w:shd w:val="clear" w:color="auto" w:fill="CCEEFF"/>
          </w:tcPr>
          <w:p>
            <w:pPr>
              <w:spacing w:after="0" w:line="225" w:lineRule="exact"/>
              <w:rPr>
                <w:sz w:val="20"/>
                <w:szCs w:val="20"/>
                <w:color w:val="auto"/>
              </w:rPr>
            </w:pPr>
            <w:r>
              <w:rPr>
                <w:rFonts w:ascii="Arial" w:cs="Arial" w:eastAsia="Arial" w:hAnsi="Arial"/>
                <w:sz w:val="18"/>
                <w:szCs w:val="18"/>
                <w:color w:val="auto"/>
              </w:rPr>
              <w:t>North America</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5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7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5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bl>
    <w:p>
      <w:pPr>
        <w:ind w:left="200" w:hanging="154"/>
        <w:spacing w:after="0"/>
        <w:tabs>
          <w:tab w:leader="none" w:pos="200" w:val="left"/>
        </w:tabs>
        <w:numPr>
          <w:ilvl w:val="0"/>
          <w:numId w:val="16"/>
        </w:numPr>
        <w:rPr>
          <w:rFonts w:ascii="Arial" w:cs="Arial" w:eastAsia="Arial" w:hAnsi="Arial"/>
          <w:sz w:val="9"/>
          <w:szCs w:val="9"/>
          <w:color w:val="auto"/>
        </w:rPr>
      </w:pPr>
      <w:r>
        <w:rPr>
          <w:rFonts w:ascii="Arial" w:cs="Arial" w:eastAsia="Arial" w:hAnsi="Arial"/>
          <w:sz w:val="14"/>
          <w:szCs w:val="14"/>
          <w:color w:val="auto"/>
        </w:rPr>
        <w:t>North America revenue includes revenue derived from the U.S., Canada and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-92710</wp:posOffset>
            </wp:positionV>
            <wp:extent cx="19030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three months ended March 31, 2023, revenues increased as social casino payer engagement increased and average monthly payers reached a new record high.</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reflects our Key Performance Indicators and Other Metrics: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manage our business by tracking several key performance indicators, each of which is tracked by our internal analytics systems and referred to in our discussion of operating results. Our key performance indicators are impacted by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2" w:name="page23"/>
    <w:bookmarkEnd w:id="22"/>
    <w:p>
      <w:pPr>
        <w:ind w:right="60"/>
        <w:spacing w:after="0" w:line="263" w:lineRule="auto"/>
        <w:rPr>
          <w:sz w:val="20"/>
          <w:szCs w:val="20"/>
          <w:color w:val="auto"/>
        </w:rPr>
      </w:pPr>
      <w:r>
        <w:rPr>
          <w:rFonts w:ascii="Arial" w:cs="Arial" w:eastAsia="Arial" w:hAnsi="Arial"/>
          <w:sz w:val="18"/>
          <w:szCs w:val="18"/>
          <w:color w:val="auto"/>
        </w:rPr>
        <w:t>several factors that could cause them to fluctuate on a quarterly basis, such as platform providers’ policies, restrictions, seasonality, user connectivity and addition of new content to certain portfolios of games. Future growth in players and engagement will depend on our ability to retain current players, attract new players, launch new games and features and expand into new markets and distribution platforms.</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a description of the definitions of our key performance indicators and other metrics and their usefulness to our investors, see “Management’s Discussion and Analysis of Financial Condition and Results of Operations” included in our 2022 Form 10-K.</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59"/>
        </w:trPr>
        <w:tc>
          <w:tcPr>
            <w:tcW w:w="65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Variance</w:t>
            </w:r>
          </w:p>
        </w:tc>
        <w:tc>
          <w:tcPr>
            <w:tcW w:w="580" w:type="dxa"/>
            <w:vAlign w:val="bottom"/>
            <w:tcBorders>
              <w:bottom w:val="single" w:sz="8" w:color="auto"/>
            </w:tcBorders>
          </w:tcPr>
          <w:p>
            <w:pPr>
              <w:spacing w:after="0"/>
              <w:rPr>
                <w:sz w:val="22"/>
                <w:szCs w:val="22"/>
                <w:color w:val="auto"/>
              </w:rPr>
            </w:pPr>
          </w:p>
        </w:tc>
      </w:tr>
      <w:tr>
        <w:trPr>
          <w:trHeight w:val="237"/>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ARPDAU, AMRPPU, Average MPUs and percentages)</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 vs. 2022</w:t>
            </w:r>
          </w:p>
        </w:tc>
        <w:tc>
          <w:tcPr>
            <w:tcW w:w="580" w:type="dxa"/>
            <w:vAlign w:val="bottom"/>
            <w:tcBorders>
              <w:bottom w:val="single" w:sz="8" w:color="auto"/>
            </w:tcBorders>
          </w:tcPr>
          <w:p>
            <w:pPr>
              <w:spacing w:after="0"/>
              <w:rPr>
                <w:sz w:val="20"/>
                <w:szCs w:val="20"/>
                <w:color w:val="auto"/>
              </w:rPr>
            </w:pPr>
          </w:p>
        </w:tc>
      </w:tr>
      <w:tr>
        <w:trPr>
          <w:trHeight w:val="212"/>
        </w:trPr>
        <w:tc>
          <w:tcPr>
            <w:tcW w:w="6500" w:type="dxa"/>
            <w:vAlign w:val="bottom"/>
            <w:shd w:val="clear" w:color="auto" w:fill="CCEEFF"/>
          </w:tcPr>
          <w:p>
            <w:pPr>
              <w:ind w:left="20"/>
              <w:spacing w:after="0" w:line="212" w:lineRule="exact"/>
              <w:rPr>
                <w:sz w:val="20"/>
                <w:szCs w:val="20"/>
                <w:color w:val="auto"/>
              </w:rPr>
            </w:pPr>
            <w:r>
              <w:rPr>
                <w:rFonts w:ascii="Arial" w:cs="Arial" w:eastAsia="Arial" w:hAnsi="Arial"/>
                <w:sz w:val="18"/>
                <w:szCs w:val="18"/>
                <w:color w:val="auto"/>
              </w:rPr>
              <w:t>In-App Purchases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6500" w:type="dxa"/>
            <w:vAlign w:val="bottom"/>
          </w:tcPr>
          <w:p>
            <w:pPr>
              <w:ind w:left="340"/>
              <w:spacing w:after="0"/>
              <w:rPr>
                <w:sz w:val="20"/>
                <w:szCs w:val="20"/>
                <w:color w:val="auto"/>
              </w:rPr>
            </w:pPr>
            <w:r>
              <w:rPr>
                <w:rFonts w:ascii="Arial" w:cs="Arial" w:eastAsia="Arial" w:hAnsi="Arial"/>
                <w:sz w:val="18"/>
                <w:szCs w:val="18"/>
                <w:color w:val="auto"/>
              </w:rPr>
              <w:t>Mobile Penetration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472"/>
              <w:spacing w:after="0"/>
              <w:rPr>
                <w:sz w:val="20"/>
                <w:szCs w:val="20"/>
                <w:color w:val="auto"/>
              </w:rPr>
            </w:pPr>
            <w:r>
              <w:rPr>
                <w:rFonts w:ascii="Arial" w:cs="Arial" w:eastAsia="Arial" w:hAnsi="Arial"/>
                <w:sz w:val="18"/>
                <w:szCs w:val="18"/>
                <w:color w:val="auto"/>
              </w:rPr>
              <w:t>1.0 pp</w:t>
            </w:r>
          </w:p>
        </w:tc>
        <w:tc>
          <w:tcPr>
            <w:tcW w:w="5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MAU</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500" w:type="dxa"/>
            <w:vAlign w:val="bottom"/>
          </w:tcPr>
          <w:p>
            <w:pPr>
              <w:ind w:left="340"/>
              <w:spacing w:after="0"/>
              <w:rPr>
                <w:sz w:val="20"/>
                <w:szCs w:val="20"/>
                <w:color w:val="auto"/>
              </w:rPr>
            </w:pPr>
            <w:r>
              <w:rPr>
                <w:rFonts w:ascii="Arial" w:cs="Arial" w:eastAsia="Arial" w:hAnsi="Arial"/>
                <w:sz w:val="18"/>
                <w:szCs w:val="18"/>
                <w:color w:val="auto"/>
              </w:rPr>
              <w:t>Average DAU</w:t>
            </w:r>
          </w:p>
        </w:tc>
        <w:tc>
          <w:tcPr>
            <w:tcW w:w="28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ARPDAU</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0.15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20.3 %</w:t>
            </w:r>
          </w:p>
        </w:tc>
      </w:tr>
      <w:tr>
        <w:trPr>
          <w:trHeight w:val="229"/>
        </w:trPr>
        <w:tc>
          <w:tcPr>
            <w:tcW w:w="6500" w:type="dxa"/>
            <w:vAlign w:val="bottom"/>
          </w:tcPr>
          <w:p>
            <w:pPr>
              <w:ind w:left="340"/>
              <w:spacing w:after="0"/>
              <w:rPr>
                <w:sz w:val="20"/>
                <w:szCs w:val="20"/>
                <w:color w:val="auto"/>
              </w:rPr>
            </w:pPr>
            <w:r>
              <w:rPr>
                <w:rFonts w:ascii="Arial" w:cs="Arial" w:eastAsia="Arial" w:hAnsi="Arial"/>
                <w:sz w:val="18"/>
                <w:szCs w:val="18"/>
                <w:color w:val="auto"/>
              </w:rPr>
              <w:t>Average MPUs (in thousands)</w:t>
            </w:r>
          </w:p>
        </w:tc>
        <w:tc>
          <w:tcPr>
            <w:tcW w:w="28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692"/>
              <w:spacing w:after="0"/>
              <w:rPr>
                <w:sz w:val="20"/>
                <w:szCs w:val="20"/>
                <w:color w:val="auto"/>
              </w:rPr>
            </w:pPr>
            <w:r>
              <w:rPr>
                <w:rFonts w:ascii="Arial" w:cs="Arial" w:eastAsia="Arial" w:hAnsi="Arial"/>
                <w:sz w:val="18"/>
                <w:szCs w:val="18"/>
                <w:color w:val="auto"/>
              </w:rPr>
              <w:t>65</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11.6 %</w:t>
            </w:r>
          </w:p>
        </w:tc>
      </w:tr>
      <w:tr>
        <w:trPr>
          <w:trHeight w:val="230"/>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AMRPPU</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4.98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7"/>
        </w:trPr>
        <w:tc>
          <w:tcPr>
            <w:tcW w:w="6500" w:type="dxa"/>
            <w:vAlign w:val="bottom"/>
          </w:tcPr>
          <w:p>
            <w:pPr>
              <w:ind w:left="340"/>
              <w:spacing w:after="0"/>
              <w:rPr>
                <w:sz w:val="20"/>
                <w:szCs w:val="20"/>
                <w:color w:val="auto"/>
              </w:rPr>
            </w:pPr>
            <w:r>
              <w:rPr>
                <w:rFonts w:ascii="Arial" w:cs="Arial" w:eastAsia="Arial" w:hAnsi="Arial"/>
                <w:sz w:val="18"/>
                <w:szCs w:val="18"/>
                <w:color w:val="auto"/>
              </w:rPr>
              <w:t>Payer conversion rate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472"/>
              <w:spacing w:after="0"/>
              <w:rPr>
                <w:sz w:val="20"/>
                <w:szCs w:val="20"/>
                <w:color w:val="auto"/>
              </w:rPr>
            </w:pPr>
            <w:r>
              <w:rPr>
                <w:rFonts w:ascii="Arial" w:cs="Arial" w:eastAsia="Arial" w:hAnsi="Arial"/>
                <w:sz w:val="18"/>
                <w:szCs w:val="18"/>
                <w:color w:val="auto"/>
              </w:rPr>
              <w:t>1.4 pp</w:t>
            </w:r>
          </w:p>
        </w:tc>
        <w:tc>
          <w:tcPr>
            <w:tcW w:w="580" w:type="dxa"/>
            <w:vAlign w:val="bottom"/>
          </w:tcPr>
          <w:p>
            <w:pPr>
              <w:jc w:val="right"/>
              <w:spacing w:after="0"/>
              <w:rPr>
                <w:sz w:val="20"/>
                <w:szCs w:val="20"/>
                <w:color w:val="auto"/>
              </w:rPr>
            </w:pPr>
            <w:r>
              <w:rPr>
                <w:rFonts w:ascii="Arial" w:cs="Arial" w:eastAsia="Arial" w:hAnsi="Arial"/>
                <w:sz w:val="18"/>
                <w:szCs w:val="18"/>
                <w:color w:val="auto"/>
              </w:rPr>
              <w:t>nm</w:t>
            </w:r>
          </w:p>
        </w:tc>
      </w:tr>
    </w:tbl>
    <w:p>
      <w:pPr>
        <w:ind w:left="40" w:right="4640" w:hanging="1"/>
        <w:spacing w:after="0" w:line="203" w:lineRule="auto"/>
        <w:tabs>
          <w:tab w:leader="none" w:pos="185"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The above KPIs include only in-app purchases, as advertising revenue is not material for the periods presented. pp = percentage points.</w:t>
      </w:r>
    </w:p>
    <w:p>
      <w:pPr>
        <w:ind w:left="40"/>
        <w:spacing w:after="0"/>
        <w:rPr>
          <w:rFonts w:ascii="Arial" w:cs="Arial" w:eastAsia="Arial" w:hAnsi="Arial"/>
          <w:sz w:val="17"/>
          <w:szCs w:val="17"/>
          <w:color w:val="auto"/>
          <w:vertAlign w:val="superscript"/>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increase in mobile penetration percentage for the three months ended March 31, 2023 primarily reflects a continued trend of players migrating from web to mobile platforms to play our games.</w:t>
      </w:r>
    </w:p>
    <w:p>
      <w:pPr>
        <w:spacing w:after="0" w:line="19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Average MAU for the three months ended March 31, 2023 decreased due to the turnover in users. ARPDAU increased as a function of flat average DAU coupled with an increase in payers.</w:t>
      </w:r>
    </w:p>
    <w:p>
      <w:pPr>
        <w:spacing w:after="0" w:line="1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For the three months ended March 31, 2023, AMRPPU and average MPU increased as payer conversion improved compared to the three months ended March 31, 2022.</w:t>
      </w:r>
    </w:p>
    <w:p>
      <w:pPr>
        <w:spacing w:after="0" w:line="19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Payer conversion rates continue to be at high levels due to consistent payer interaction with the games by our players as a result of our focus on introducing new content, features and live events in our games.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Operating Expenses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left="132"/>
              <w:spacing w:after="0"/>
              <w:rPr>
                <w:sz w:val="20"/>
                <w:szCs w:val="20"/>
                <w:color w:val="auto"/>
              </w:rPr>
            </w:pPr>
            <w:r>
              <w:rPr>
                <w:rFonts w:ascii="Arial" w:cs="Arial" w:eastAsia="Arial" w:hAnsi="Arial"/>
                <w:sz w:val="16"/>
                <w:szCs w:val="16"/>
                <w:b w:val="1"/>
                <w:bCs w:val="1"/>
                <w:color w:val="auto"/>
                <w:w w:val="92"/>
              </w:rPr>
              <w:t>Variance</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6"/>
                <w:szCs w:val="16"/>
                <w:b w:val="1"/>
                <w:bCs w:val="1"/>
                <w:color w:val="auto"/>
                <w:w w:val="90"/>
              </w:rPr>
              <w:t>Percentage of Revenue</w:t>
            </w:r>
          </w:p>
        </w:tc>
        <w:tc>
          <w:tcPr>
            <w:tcW w:w="0" w:type="dxa"/>
            <w:vAlign w:val="bottom"/>
          </w:tcPr>
          <w:p>
            <w:pPr>
              <w:spacing w:after="0"/>
              <w:rPr>
                <w:sz w:val="1"/>
                <w:szCs w:val="1"/>
                <w:color w:val="auto"/>
              </w:rPr>
            </w:pPr>
          </w:p>
        </w:tc>
      </w:tr>
      <w:tr>
        <w:trPr>
          <w:trHeight w:val="159"/>
        </w:trPr>
        <w:tc>
          <w:tcPr>
            <w:tcW w:w="3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millions)</w:t>
            </w:r>
          </w:p>
        </w:tc>
        <w:tc>
          <w:tcPr>
            <w:tcW w:w="200" w:type="dxa"/>
            <w:vAlign w:val="bottom"/>
          </w:tcPr>
          <w:p>
            <w:pPr>
              <w:spacing w:after="0"/>
              <w:rPr>
                <w:sz w:val="13"/>
                <w:szCs w:val="13"/>
                <w:color w:val="auto"/>
              </w:rPr>
            </w:pPr>
          </w:p>
        </w:tc>
        <w:tc>
          <w:tcPr>
            <w:tcW w:w="78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vMerge w:val="restart"/>
          </w:tcPr>
          <w:p>
            <w:pPr>
              <w:jc w:val="center"/>
              <w:ind w:left="112"/>
              <w:spacing w:after="0"/>
              <w:rPr>
                <w:sz w:val="20"/>
                <w:szCs w:val="20"/>
                <w:color w:val="auto"/>
              </w:rPr>
            </w:pPr>
            <w:r>
              <w:rPr>
                <w:rFonts w:ascii="Arial" w:cs="Arial" w:eastAsia="Arial" w:hAnsi="Arial"/>
                <w:sz w:val="16"/>
                <w:szCs w:val="16"/>
                <w:b w:val="1"/>
                <w:bCs w:val="1"/>
                <w:color w:val="auto"/>
                <w:w w:val="89"/>
              </w:rPr>
              <w:t>2023 vs. 2022</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2023</w:t>
            </w:r>
          </w:p>
        </w:tc>
        <w:tc>
          <w:tcPr>
            <w:tcW w:w="1240" w:type="dxa"/>
            <w:vAlign w:val="bottom"/>
            <w:gridSpan w:val="2"/>
            <w:vMerge w:val="restart"/>
          </w:tcPr>
          <w:p>
            <w:pPr>
              <w:jc w:val="right"/>
              <w:ind w:right="33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460" w:type="dxa"/>
            <w:vAlign w:val="bottom"/>
          </w:tcPr>
          <w:p>
            <w:pPr>
              <w:jc w:val="right"/>
              <w:ind w:right="192"/>
              <w:spacing w:after="0" w:line="158" w:lineRule="exact"/>
              <w:rPr>
                <w:sz w:val="20"/>
                <w:szCs w:val="20"/>
                <w:color w:val="auto"/>
              </w:rPr>
            </w:pPr>
            <w:r>
              <w:rPr>
                <w:rFonts w:ascii="Arial" w:cs="Arial" w:eastAsia="Arial" w:hAnsi="Arial"/>
                <w:sz w:val="16"/>
                <w:szCs w:val="16"/>
                <w:b w:val="1"/>
                <w:bCs w:val="1"/>
                <w:color w:val="auto"/>
              </w:rPr>
              <w:t>2023 vs. 2022</w:t>
            </w:r>
          </w:p>
        </w:tc>
        <w:tc>
          <w:tcPr>
            <w:tcW w:w="0" w:type="dxa"/>
            <w:vAlign w:val="bottom"/>
          </w:tcPr>
          <w:p>
            <w:pPr>
              <w:spacing w:after="0"/>
              <w:rPr>
                <w:sz w:val="1"/>
                <w:szCs w:val="1"/>
                <w:color w:val="auto"/>
              </w:rPr>
            </w:pPr>
          </w:p>
        </w:tc>
      </w:tr>
      <w:tr>
        <w:trPr>
          <w:trHeight w:val="129"/>
        </w:trPr>
        <w:tc>
          <w:tcPr>
            <w:tcW w:w="3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84"/>
        </w:trPr>
        <w:tc>
          <w:tcPr>
            <w:tcW w:w="3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30.5 %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 pp</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(0.1)pp</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 pp</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(0.5)pp</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 pp</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other</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1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right="8760" w:firstLine="6"/>
        <w:spacing w:after="0" w:line="205" w:lineRule="auto"/>
        <w:tabs>
          <w:tab w:leader="none" w:pos="165"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Excludes depreciation and amortization. pp = percentage points.</w:t>
      </w:r>
    </w:p>
    <w:p>
      <w:pPr>
        <w:ind w:left="20"/>
        <w:spacing w:after="0"/>
        <w:rPr>
          <w:rFonts w:ascii="Arial" w:cs="Arial" w:eastAsia="Arial" w:hAnsi="Arial"/>
          <w:sz w:val="17"/>
          <w:szCs w:val="17"/>
          <w:color w:val="auto"/>
          <w:vertAlign w:val="superscript"/>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three months ended March 31, 2023 and 2022, cost of revenue increased due to higher platform fees in line with revenue growth.</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For the three months ended March 31, 2023, sales and marketing expense increased primarily due to higher marketing spend of $4.7 million, coupled with higher salaries and benefits of $1.5 million primarily related to an average increased headcount.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For the three months ended March 31, 2023, general and administrative expenses increased primarily due to a $3.9 million increase in stock-based compensation, coupled with a $1.1 million increase in salaries and benefits related to an average increased headcount of 28%.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For the three months ended March 31, 2023, research and development expenses increased primarily due to an increase of $1.3 million in salary and benefits costs as a result of an increase of 7% in research and development average headcount for the same period, coupled with higher software costs and professional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For the three months ended March 31, 2023, depreciation and amortization expense increased primarily due to additional amortization associated with intangible assets acquired in conjunction with the Alictus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other</w:t>
      </w:r>
    </w:p>
    <w:p>
      <w:pPr>
        <w:spacing w:after="0" w:line="25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the three months ended March 31, 2023, the decrease in restructuring and other is primarily due to a decrease in costs related to mergers and acquisitions-related activity.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4" w:name="page25"/>
    <w:bookmarkEnd w:id="24"/>
    <w:p>
      <w:pPr>
        <w:ind w:right="380" w:firstLine="648"/>
        <w:spacing w:after="0" w:line="308" w:lineRule="auto"/>
        <w:rPr>
          <w:sz w:val="20"/>
          <w:szCs w:val="20"/>
          <w:color w:val="auto"/>
        </w:rPr>
      </w:pPr>
      <w:r>
        <w:rPr>
          <w:rFonts w:ascii="Arial" w:cs="Arial" w:eastAsia="Arial" w:hAnsi="Arial"/>
          <w:sz w:val="17"/>
          <w:szCs w:val="17"/>
          <w:color w:val="auto"/>
        </w:rPr>
        <w:t>For the three months ended March 31, 2023, the increase in other income (expense) is primarily due to the increase in interest income of $3.3 million and the $2.9 million extinguishment of redeemable non-controlling interest liability related to the Alictus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AEBITDA</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 three months ended March 31, 2023, net income and AEBITDA increased primarily due to an increase in revenue, as discussed above. Net income margin increased by 2.1 percentage points and AEBITDA margin increased by 0.7 percentage points, also primarily due to an increase in revenue and an increase of a lesser percentage in operating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description of recently issued accounting pronouncements, see Note 1.</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For a description of our policies regarding our critical accounting estimates, see “Critical Accounting Estimates” in our 2022 Form 10-K. There have been no significant changes in our critical accounting estimate policies or the application or the results of the application of those policies to our condensed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WORKING CAPITAL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9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SciPlay is a holding company, with no material assets other than its ownership of SciPlay Parent LLC Interests, no operating activities on its own and no independent means of generating revenue or cash flow. Operations are carried out by SciPlay Parent LLC and its subsidiaries, and we depend on distributions from SciPlay Parent LLC to pay our taxes and expenses. SciPlay Parent LLC’s ability to make distributions to us is restricted by the terms of the Revolver (as defined below) by and among SciPlay Games, LLC, as the successor borrower, SciPlay Parent LLC, as a guarantor, the subsidiary guarantors party thereto, the lenders party thereto and Bank of America, N.A., as administrative agent and collateral agent, and may be restricted by any future credit agreement we or our subsidiaries enter into, any future debt or preferred equity securities we or our subsidiaries issue, other contractual restrictions or applicable Nevada law.</w:t>
      </w:r>
    </w:p>
    <w:p>
      <w:pPr>
        <w:spacing w:after="0" w:line="222"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We have funded our operations primarily through cash flows from operating activities. Based on our current plans and market conditions, we believe that cash flows generated from our operations and borrowing capacity under the Revolver will be sufficient to satisfy our anticipated cash requirements for the foreseeable future. However, we intend to continue to make significant investments to support our business growth and may require additional funds to respond to business challenges, including the need to develop new games and features or enhance our existing games, improve our operating infrastructure or acquire complementary businesses, personnel and technologies. Accordingly, we may need to engage in equity or debt financings to secure additional funds.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20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total cash on hand was $357.5 million and $330.1 million as of March 31, 2023 and December 31, 2022, respectively. There have been no material changes to our contractual obligations from what was disclosed in our 2022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have never paid any cash dividends on our common stock and do not presently intend to pay cash dividends on our common stock. However, we reconsider our dividend policy on a regular basis and may determine in the future to declare or pay cash dividends on our common stock. Under the terms of the Revolver, we are limited in our ability to pay cash dividends or make certain other restricted payments (other than stock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Revolving Credit Facility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description of the Revolver, see “Liquidity, Capital Resources and Working Capital” in our 2022 Form 10-K.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Revolver was undrawn as of March 31, 2023. We were in compliance with the financial covenants under the Revolver as of March 31, 2023.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summary of our cash flows for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right"/>
              <w:ind w:right="432"/>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Borders>
              <w:bottom w:val="single" w:sz="8" w:color="auto"/>
            </w:tcBorders>
          </w:tcPr>
          <w:p>
            <w:pPr>
              <w:spacing w:after="0"/>
              <w:rPr>
                <w:sz w:val="18"/>
                <w:szCs w:val="18"/>
                <w:color w:val="auto"/>
              </w:rPr>
            </w:pPr>
          </w:p>
        </w:tc>
      </w:tr>
      <w:tr>
        <w:trPr>
          <w:trHeight w:val="21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in millions)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226"/>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(108.2)</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Net cash provided by operating activities increased primarily due to an increase in revenue, partially offset by an unfavorable change in working capital primarily due to the timing of payments from our platform providers.</w:t>
      </w:r>
    </w:p>
    <w:p>
      <w:pPr>
        <w:spacing w:after="0" w:line="2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Net cash used in investing activities decreased primarily due to a $106.2 million decrease in cash paid for business acquisition, partially offset by $1.8 million increase in capital expenditures.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used in financing activities increased primarily due to an $8.2 million increase in the repurchase of Class A common stock shares.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2023, we did not have any significant off-balance sheet arrangements.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2023, we had no material exposure to market risks.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Interim Chief Financial Officer, we have evaluated the effectiveness of our disclosure controls and procedures as required by Exchange Act Rule 13a-15(b) as of the end of the period covered by this report. Based on that evaluation, the Chief Executive Officer and Interim Chief Financial Officer have concluded that these disclosure controls and procedures are effective as of March 31, 2023.</w:t>
      </w:r>
    </w:p>
    <w:p>
      <w:pPr>
        <w:spacing w:after="0" w:line="21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2023 that have materially affected, or are reasonably likely to materially affect, our internal control over financial reporting.</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description of our legal proceedings, see Note 8.</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material changes in our risk factors from those disclosed under Item 1A “Risk Factors” included in our 2022 Form 10-K.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repurchased 0.5 million shares under the share repurchase program during the three months ended March 31, 2023.</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for price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w w:val="93"/>
              </w:rPr>
              <w:t>Total Number of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Purchased as Part of</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Average Price Paid per</w:t>
            </w: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2"/>
          </w:tcPr>
          <w:p>
            <w:pPr>
              <w:ind w:left="40"/>
              <w:spacing w:after="0" w:line="181" w:lineRule="exact"/>
              <w:rPr>
                <w:sz w:val="20"/>
                <w:szCs w:val="20"/>
                <w:color w:val="auto"/>
              </w:rPr>
            </w:pPr>
            <w:r>
              <w:rPr>
                <w:rFonts w:ascii="Arial" w:cs="Arial" w:eastAsia="Arial" w:hAnsi="Arial"/>
                <w:sz w:val="18"/>
                <w:szCs w:val="18"/>
                <w:b w:val="1"/>
                <w:bCs w:val="1"/>
                <w:color w:val="auto"/>
                <w:w w:val="91"/>
              </w:rPr>
              <w:t>Value of Shares that May</w:t>
            </w:r>
          </w:p>
        </w:tc>
        <w:tc>
          <w:tcPr>
            <w:tcW w:w="0" w:type="dxa"/>
            <w:vAlign w:val="bottom"/>
          </w:tcPr>
          <w:p>
            <w:pPr>
              <w:spacing w:after="0"/>
              <w:rPr>
                <w:sz w:val="1"/>
                <w:szCs w:val="1"/>
                <w:color w:val="auto"/>
              </w:rPr>
            </w:pPr>
          </w:p>
        </w:tc>
      </w:tr>
      <w:tr>
        <w:trPr>
          <w:trHeight w:val="176"/>
        </w:trPr>
        <w:tc>
          <w:tcPr>
            <w:tcW w:w="2780" w:type="dxa"/>
            <w:vAlign w:val="bottom"/>
            <w:gridSpan w:val="2"/>
            <w:vMerge w:val="restart"/>
          </w:tcPr>
          <w:p>
            <w:pPr>
              <w:ind w:left="1060"/>
              <w:spacing w:after="0"/>
              <w:rPr>
                <w:sz w:val="20"/>
                <w:szCs w:val="20"/>
                <w:color w:val="auto"/>
              </w:rPr>
            </w:pPr>
            <w:r>
              <w:rPr>
                <w:rFonts w:ascii="Arial" w:cs="Arial" w:eastAsia="Arial" w:hAnsi="Arial"/>
                <w:sz w:val="18"/>
                <w:szCs w:val="18"/>
                <w:b w:val="1"/>
                <w:bCs w:val="1"/>
                <w:color w:val="auto"/>
              </w:rPr>
              <w:t>Period</w:t>
            </w:r>
          </w:p>
        </w:tc>
        <w:tc>
          <w:tcPr>
            <w:tcW w:w="2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Publicly Announced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2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8"/>
              </w:rPr>
              <w:t>Total Cost of Repurchase</w:t>
            </w:r>
          </w:p>
        </w:tc>
        <w:tc>
          <w:tcPr>
            <w:tcW w:w="160" w:type="dxa"/>
            <w:vAlign w:val="bottom"/>
          </w:tcPr>
          <w:p>
            <w:pPr>
              <w:spacing w:after="0"/>
              <w:rPr>
                <w:sz w:val="15"/>
                <w:szCs w:val="15"/>
                <w:color w:val="auto"/>
              </w:rPr>
            </w:pPr>
          </w:p>
        </w:tc>
        <w:tc>
          <w:tcPr>
            <w:tcW w:w="20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Yet Be Purchased Under</w:t>
            </w:r>
          </w:p>
        </w:tc>
        <w:tc>
          <w:tcPr>
            <w:tcW w:w="0" w:type="dxa"/>
            <w:vAlign w:val="bottom"/>
          </w:tcPr>
          <w:p>
            <w:pPr>
              <w:spacing w:after="0"/>
              <w:rPr>
                <w:sz w:val="1"/>
                <w:szCs w:val="1"/>
                <w:color w:val="auto"/>
              </w:rPr>
            </w:pPr>
          </w:p>
        </w:tc>
      </w:tr>
      <w:tr>
        <w:trPr>
          <w:trHeight w:val="229"/>
        </w:trPr>
        <w:tc>
          <w:tcPr>
            <w:tcW w:w="2780" w:type="dxa"/>
            <w:vAlign w:val="bottom"/>
            <w:gridSpan w:val="2"/>
            <w:vMerge w:val="continue"/>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Share</w:t>
            </w:r>
          </w:p>
        </w:tc>
        <w:tc>
          <w:tcPr>
            <w:tcW w:w="2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the Program</w:t>
            </w: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1"/>
              </w:rPr>
              <w:t>1/1/2023 - 1/31/2023</w:t>
            </w:r>
          </w:p>
        </w:tc>
        <w:tc>
          <w:tcPr>
            <w:tcW w:w="16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2620" w:type="dxa"/>
            <w:vAlign w:val="bottom"/>
          </w:tcPr>
          <w:p>
            <w:pPr>
              <w:jc w:val="right"/>
              <w:ind w:right="990"/>
              <w:spacing w:after="0"/>
              <w:rPr>
                <w:sz w:val="20"/>
                <w:szCs w:val="20"/>
                <w:color w:val="auto"/>
              </w:rPr>
            </w:pPr>
            <w:r>
              <w:rPr>
                <w:rFonts w:ascii="Arial" w:cs="Arial" w:eastAsia="Arial" w:hAnsi="Arial"/>
                <w:sz w:val="18"/>
                <w:szCs w:val="18"/>
                <w:color w:val="auto"/>
                <w:w w:val="91"/>
              </w:rPr>
              <w:t>2/1/2023 - 2/28/2023</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15.96</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1"/>
              </w:rPr>
              <w:t>3/1/2023 - 3/31/2023</w:t>
            </w:r>
          </w:p>
        </w:tc>
        <w:tc>
          <w:tcPr>
            <w:tcW w:w="160" w:type="dxa"/>
            <w:vAlign w:val="bottom"/>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6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6"/>
        </w:trPr>
        <w:tc>
          <w:tcPr>
            <w:tcW w:w="2780" w:type="dxa"/>
            <w:vAlign w:val="bottom"/>
            <w:gridSpan w:val="2"/>
          </w:tcPr>
          <w:p>
            <w:pPr>
              <w:ind w:left="240"/>
              <w:spacing w:after="0" w:line="196" w:lineRule="exact"/>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16.14</w:t>
            </w:r>
          </w:p>
        </w:tc>
        <w:tc>
          <w:tcPr>
            <w:tcW w:w="160" w:type="dxa"/>
            <w:vAlign w:val="bottom"/>
          </w:tcPr>
          <w:p>
            <w:pPr>
              <w:spacing w:after="0"/>
              <w:rPr>
                <w:sz w:val="17"/>
                <w:szCs w:val="17"/>
                <w:color w:val="auto"/>
              </w:rPr>
            </w:pPr>
          </w:p>
        </w:tc>
        <w:tc>
          <w:tcPr>
            <w:tcW w:w="9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880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540" w:type="dxa"/>
            <w:vAlign w:val="bottom"/>
            <w:gridSpan w:val="9"/>
            <w:vMerge w:val="restart"/>
          </w:tcPr>
          <w:p>
            <w:pPr>
              <w:ind w:left="1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4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45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3.1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5"/>
            <w:shd w:val="clear" w:color="auto" w:fill="CCEEFF"/>
          </w:tcPr>
          <w:p>
            <w:pPr>
              <w:spacing w:after="0" w:line="189"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Amended and Restated Articles of Incorporation of SciPlay Corporation (incorporated by reference to Exhibit 3.1 to SciPlay Corporation’s</w:t>
              </w:r>
            </w:hyperlink>
          </w:p>
        </w:tc>
        <w:tc>
          <w:tcPr>
            <w:tcW w:w="0" w:type="dxa"/>
            <w:vAlign w:val="bottom"/>
          </w:tcPr>
          <w:p>
            <w:pPr>
              <w:spacing w:after="0"/>
              <w:rPr>
                <w:sz w:val="1"/>
                <w:szCs w:val="1"/>
                <w:color w:val="auto"/>
              </w:rPr>
            </w:pPr>
          </w:p>
        </w:tc>
      </w:tr>
      <w:tr>
        <w:trPr>
          <w:trHeight w:val="156"/>
        </w:trPr>
        <w:tc>
          <w:tcPr>
            <w:tcW w:w="10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Current Report on Form 8-K filed on May 8, 2019).</w:t>
              </w:r>
            </w:hyperlink>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1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5"/>
          </w:tcPr>
          <w:p>
            <w:pPr>
              <w:spacing w:after="0" w:line="189"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Second Amended and Restated Bylaws of SciPlay Corporation (incorporated by reference to Exhibit 3.1 to SciPlay Corporation’s Current</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Report on Form 8-K filed on July 29, 2022)</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5"/>
              </w:rPr>
              <w:t>10.1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w w:val="90"/>
              </w:rPr>
              <w:t>Amendment and General Release, dated as of February 24, 2023, by and between SciPlay Parent Company, LLC and James Bombassei.*</w:t>
            </w:r>
          </w:p>
        </w:tc>
        <w:tc>
          <w:tcPr>
            <w:tcW w:w="0" w:type="dxa"/>
            <w:vAlign w:val="bottom"/>
          </w:tcPr>
          <w:p>
            <w:pPr>
              <w:spacing w:after="0"/>
              <w:rPr>
                <w:sz w:val="1"/>
                <w:szCs w:val="1"/>
                <w:color w:val="auto"/>
              </w:rPr>
            </w:pPr>
          </w:p>
        </w:tc>
      </w:tr>
      <w:tr>
        <w:trPr>
          <w:trHeight w:val="183"/>
        </w:trPr>
        <w:tc>
          <w:tcPr>
            <w:tcW w:w="10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900" w:type="dxa"/>
            <w:vAlign w:val="bottom"/>
            <w:tcBorders>
              <w:top w:val="single" w:sz="8" w:color="0000FF"/>
            </w:tcBorders>
            <w:gridSpan w:val="11"/>
            <w:shd w:val="clear" w:color="auto" w:fill="CCEEFF"/>
          </w:tcPr>
          <w:p>
            <w:pPr>
              <w:spacing w:after="0" w:line="182" w:lineRule="exact"/>
              <w:rPr>
                <w:sz w:val="20"/>
                <w:szCs w:val="20"/>
                <w:color w:val="auto"/>
              </w:rPr>
            </w:pPr>
            <w:r>
              <w:rPr>
                <w:rFonts w:ascii="Arial" w:cs="Arial" w:eastAsia="Arial" w:hAnsi="Arial"/>
                <w:sz w:val="18"/>
                <w:szCs w:val="18"/>
                <w:color w:val="0000FF"/>
              </w:rPr>
              <w:t>(†)</w:t>
            </w:r>
          </w:p>
        </w:tc>
        <w:tc>
          <w:tcPr>
            <w:tcW w:w="4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5"/>
          </w:tcPr>
          <w:p>
            <w:pPr>
              <w:spacing w:after="0" w:line="189" w:lineRule="exact"/>
              <w:rPr>
                <w:sz w:val="20"/>
                <w:szCs w:val="20"/>
                <w:color w:val="auto"/>
              </w:rPr>
            </w:pPr>
            <w:r>
              <w:rPr>
                <w:rFonts w:ascii="Arial" w:cs="Arial" w:eastAsia="Arial" w:hAnsi="Arial"/>
                <w:sz w:val="18"/>
                <w:szCs w:val="18"/>
                <w:color w:val="0000FF"/>
                <w:w w:val="92"/>
              </w:rPr>
              <w:t>Certification of the Chief Executive Officer of SciPlay Corporation pursuant to Rule 13a-14(a), as adopted pursuant to Section 302 of the</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Sarbanes-Oxley Act of 2002.(†)</w:t>
            </w:r>
          </w:p>
        </w:tc>
        <w:tc>
          <w:tcPr>
            <w:tcW w:w="6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5"/>
              </w:rPr>
              <w:t>31.2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w w:val="92"/>
              </w:rPr>
              <w:t>Certification of the Interim Chief Financial Officer of SciPlay Corporation pursuant to Rule 13a-14(a), as adopted pursuant to Section 302</w:t>
            </w:r>
          </w:p>
        </w:tc>
        <w:tc>
          <w:tcPr>
            <w:tcW w:w="0" w:type="dxa"/>
            <w:vAlign w:val="bottom"/>
          </w:tcPr>
          <w:p>
            <w:pPr>
              <w:spacing w:after="0"/>
              <w:rPr>
                <w:sz w:val="1"/>
                <w:szCs w:val="1"/>
                <w:color w:val="auto"/>
              </w:rPr>
            </w:pPr>
          </w:p>
        </w:tc>
      </w:tr>
      <w:tr>
        <w:trPr>
          <w:trHeight w:val="183"/>
        </w:trPr>
        <w:tc>
          <w:tcPr>
            <w:tcW w:w="10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940" w:type="dxa"/>
            <w:vAlign w:val="bottom"/>
            <w:tcBorders>
              <w:top w:val="single" w:sz="8" w:color="0000FF"/>
            </w:tcBorders>
            <w:gridSpan w:val="13"/>
            <w:shd w:val="clear" w:color="auto" w:fill="CCEEFF"/>
          </w:tcPr>
          <w:p>
            <w:pPr>
              <w:spacing w:after="0" w:line="182" w:lineRule="exact"/>
              <w:rPr>
                <w:sz w:val="20"/>
                <w:szCs w:val="20"/>
                <w:color w:val="auto"/>
              </w:rPr>
            </w:pPr>
            <w:r>
              <w:rPr>
                <w:rFonts w:ascii="Arial" w:cs="Arial" w:eastAsia="Arial" w:hAnsi="Arial"/>
                <w:sz w:val="18"/>
                <w:szCs w:val="18"/>
                <w:color w:val="0000FF"/>
              </w:rPr>
              <w:t>of the Sarbanes-Oxley Act of 2002.(†)</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5"/>
          </w:tcPr>
          <w:p>
            <w:pPr>
              <w:spacing w:after="0" w:line="202" w:lineRule="exact"/>
              <w:rPr>
                <w:sz w:val="20"/>
                <w:szCs w:val="20"/>
                <w:color w:val="auto"/>
              </w:rPr>
            </w:pPr>
            <w:r>
              <w:rPr>
                <w:rFonts w:ascii="Arial" w:cs="Arial" w:eastAsia="Arial" w:hAnsi="Arial"/>
                <w:sz w:val="18"/>
                <w:szCs w:val="18"/>
                <w:color w:val="0000FF"/>
                <w:w w:val="93"/>
              </w:rPr>
              <w:t>Certification of the Chief Executive Officer of SciPlay Corporation pursuant to Rule 13a-14(b) and 18 U.S.C. Section 1350, as adopted</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pursuant to Section 906 of the Sarbanes-Oxley Act of 2002.**</w:t>
            </w:r>
          </w:p>
        </w:tc>
        <w:tc>
          <w:tcPr>
            <w:tcW w:w="3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5"/>
              </w:rPr>
              <w:t>32.2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0000FF"/>
                <w:w w:val="95"/>
              </w:rPr>
              <w:t>Certification of the Interim Chief Financial Officer of SciPlay Corporation pursuant to Rule 13a-14(b) and 18 U.S.C. Section 1350, as</w:t>
            </w:r>
          </w:p>
        </w:tc>
        <w:tc>
          <w:tcPr>
            <w:tcW w:w="0" w:type="dxa"/>
            <w:vAlign w:val="bottom"/>
          </w:tcPr>
          <w:p>
            <w:pPr>
              <w:spacing w:after="0"/>
              <w:rPr>
                <w:sz w:val="1"/>
                <w:szCs w:val="1"/>
                <w:color w:val="auto"/>
              </w:rPr>
            </w:pPr>
          </w:p>
        </w:tc>
      </w:tr>
      <w:tr>
        <w:trPr>
          <w:trHeight w:val="230"/>
        </w:trPr>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100" w:type="dxa"/>
            <w:vAlign w:val="bottom"/>
            <w:tcBorders>
              <w:top w:val="single" w:sz="8" w:color="0000FF"/>
              <w:bottom w:val="single" w:sz="8" w:color="0000FF"/>
            </w:tcBorders>
            <w:gridSpan w:val="7"/>
            <w:shd w:val="clear" w:color="auto" w:fill="CCEEFF"/>
          </w:tcPr>
          <w:p>
            <w:pPr>
              <w:spacing w:after="0" w:line="182" w:lineRule="exact"/>
              <w:rPr>
                <w:sz w:val="20"/>
                <w:szCs w:val="20"/>
                <w:color w:val="auto"/>
              </w:rPr>
            </w:pPr>
            <w:r>
              <w:rPr>
                <w:rFonts w:ascii="Arial" w:cs="Arial" w:eastAsia="Arial" w:hAnsi="Arial"/>
                <w:sz w:val="18"/>
                <w:szCs w:val="18"/>
                <w:color w:val="0000FF"/>
                <w:w w:val="90"/>
              </w:rPr>
              <w:t>adopted pursuant to Section 906 of the Sarbanes-Oxley Act of 2002.**</w:t>
            </w:r>
          </w:p>
        </w:tc>
        <w:tc>
          <w:tcPr>
            <w:tcW w:w="4540" w:type="dxa"/>
            <w:vAlign w:val="bottom"/>
            <w:tcBorders>
              <w:top w:val="single" w:sz="8" w:color="0000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gridSpan w:val="7"/>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5"/>
              </w:rPr>
              <w:t>101.INS</w:t>
            </w:r>
          </w:p>
        </w:tc>
        <w:tc>
          <w:tcPr>
            <w:tcW w:w="20" w:type="dxa"/>
            <w:vAlign w:val="bottom"/>
          </w:tcPr>
          <w:p>
            <w:pPr>
              <w:spacing w:after="0"/>
              <w:rPr>
                <w:sz w:val="15"/>
                <w:szCs w:val="15"/>
                <w:color w:val="auto"/>
              </w:rPr>
            </w:pPr>
          </w:p>
        </w:tc>
        <w:tc>
          <w:tcPr>
            <w:tcW w:w="10020" w:type="dxa"/>
            <w:vAlign w:val="bottom"/>
            <w:gridSpan w:val="15"/>
          </w:tcPr>
          <w:p>
            <w:pPr>
              <w:spacing w:after="0" w:line="176" w:lineRule="exact"/>
              <w:rPr>
                <w:sz w:val="20"/>
                <w:szCs w:val="20"/>
                <w:color w:val="auto"/>
              </w:rPr>
            </w:pPr>
            <w:r>
              <w:rPr>
                <w:rFonts w:ascii="Arial" w:cs="Arial" w:eastAsia="Arial" w:hAnsi="Arial"/>
                <w:sz w:val="18"/>
                <w:szCs w:val="18"/>
                <w:color w:val="auto"/>
                <w:w w:val="98"/>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15"/>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36"/>
        </w:trPr>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shd w:val="clear" w:color="auto" w:fill="CCEEFF"/>
          </w:tcPr>
          <w:p>
            <w:pPr>
              <w:spacing w:after="0"/>
              <w:rPr>
                <w:sz w:val="20"/>
                <w:szCs w:val="20"/>
                <w:color w:val="auto"/>
              </w:rPr>
            </w:pPr>
          </w:p>
        </w:tc>
        <w:tc>
          <w:tcPr>
            <w:tcW w:w="1002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19"/>
                <w:szCs w:val="19"/>
                <w:color w:val="auto"/>
              </w:rPr>
            </w:pPr>
          </w:p>
        </w:tc>
        <w:tc>
          <w:tcPr>
            <w:tcW w:w="1002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shd w:val="clear" w:color="auto" w:fill="CCEEFF"/>
          </w:tcPr>
          <w:p>
            <w:pPr>
              <w:spacing w:after="0"/>
              <w:rPr>
                <w:sz w:val="19"/>
                <w:szCs w:val="19"/>
                <w:color w:val="auto"/>
              </w:rPr>
            </w:pPr>
          </w:p>
        </w:tc>
        <w:tc>
          <w:tcPr>
            <w:tcW w:w="1002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Definition Label Linkbase Document</w:t>
            </w:r>
          </w:p>
        </w:tc>
        <w:tc>
          <w:tcPr>
            <w:tcW w:w="0" w:type="dxa"/>
            <w:vAlign w:val="bottom"/>
          </w:tcPr>
          <w:p>
            <w:pPr>
              <w:spacing w:after="0"/>
              <w:rPr>
                <w:sz w:val="1"/>
                <w:szCs w:val="1"/>
                <w:color w:val="auto"/>
              </w:rPr>
            </w:pPr>
          </w:p>
        </w:tc>
      </w:tr>
      <w:tr>
        <w:trPr>
          <w:trHeight w:val="229"/>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19"/>
                <w:szCs w:val="19"/>
                <w:color w:val="auto"/>
              </w:rPr>
            </w:pPr>
          </w:p>
        </w:tc>
        <w:tc>
          <w:tcPr>
            <w:tcW w:w="1002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101.PRE</w:t>
            </w:r>
          </w:p>
        </w:tc>
        <w:tc>
          <w:tcPr>
            <w:tcW w:w="20" w:type="dxa"/>
            <w:vAlign w:val="bottom"/>
            <w:shd w:val="clear" w:color="auto" w:fill="CCEEFF"/>
          </w:tcPr>
          <w:p>
            <w:pPr>
              <w:spacing w:after="0"/>
              <w:rPr>
                <w:sz w:val="19"/>
                <w:szCs w:val="19"/>
                <w:color w:val="auto"/>
              </w:rPr>
            </w:pPr>
          </w:p>
        </w:tc>
        <w:tc>
          <w:tcPr>
            <w:tcW w:w="1002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220" w:right="200" w:hanging="807"/>
        <w:spacing w:after="0" w:line="234" w:lineRule="auto"/>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9" w:lineRule="exact"/>
        <w:rPr>
          <w:rFonts w:ascii="Arial" w:cs="Arial" w:eastAsia="Arial" w:hAnsi="Arial"/>
          <w:sz w:val="18"/>
          <w:szCs w:val="18"/>
          <w:color w:val="auto"/>
        </w:rPr>
      </w:pPr>
    </w:p>
    <w:p>
      <w:pPr>
        <w:ind w:left="220" w:hanging="194"/>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Furnished herewith.</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Management contracts and compensation plans and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SCIPLAY CORPORATION</w:t>
      </w:r>
    </w:p>
    <w:p>
      <w:pPr>
        <w:spacing w:after="0" w:line="30" w:lineRule="exact"/>
        <w:rPr>
          <w:sz w:val="20"/>
          <w:szCs w:val="20"/>
          <w:color w:val="auto"/>
        </w:rPr>
      </w:pPr>
    </w:p>
    <w:tbl>
      <w:tblPr>
        <w:tblLayout w:type="fixed"/>
        <w:tblInd w:w="4240" w:type="dxa"/>
        <w:tblCellMar>
          <w:top w:w="0" w:type="dxa"/>
          <w:left w:w="0" w:type="dxa"/>
          <w:bottom w:w="0" w:type="dxa"/>
          <w:right w:w="0" w:type="dxa"/>
        </w:tblCellMar>
      </w:tblPr>
      <w:tr>
        <w:trPr>
          <w:trHeight w:val="244"/>
        </w:trPr>
        <w:tc>
          <w:tcPr>
            <w:tcW w:w="960" w:type="dxa"/>
            <w:vAlign w:val="bottom"/>
            <w:tcBorders>
              <w:top w:val="single" w:sz="8" w:color="auto"/>
            </w:tcBorders>
          </w:tcPr>
          <w:p>
            <w:pPr>
              <w:spacing w:after="0"/>
              <w:rPr>
                <w:sz w:val="21"/>
                <w:szCs w:val="21"/>
                <w:color w:val="auto"/>
              </w:rPr>
            </w:pPr>
          </w:p>
        </w:tc>
        <w:tc>
          <w:tcPr>
            <w:tcW w:w="60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26"/>
        </w:trPr>
        <w:tc>
          <w:tcPr>
            <w:tcW w:w="960" w:type="dxa"/>
            <w:vAlign w:val="bottom"/>
          </w:tcPr>
          <w:p>
            <w:pPr>
              <w:ind w:left="20"/>
              <w:spacing w:after="0"/>
              <w:rPr>
                <w:sz w:val="20"/>
                <w:szCs w:val="20"/>
                <w:color w:val="auto"/>
              </w:rPr>
            </w:pPr>
            <w:r>
              <w:rPr>
                <w:rFonts w:ascii="Arial" w:cs="Arial" w:eastAsia="Arial" w:hAnsi="Arial"/>
                <w:sz w:val="18"/>
                <w:szCs w:val="18"/>
                <w:color w:val="auto"/>
              </w:rPr>
              <w:t>By:</w:t>
            </w:r>
          </w:p>
        </w:tc>
        <w:tc>
          <w:tcPr>
            <w:tcW w:w="6020" w:type="dxa"/>
            <w:vAlign w:val="bottom"/>
          </w:tcPr>
          <w:p>
            <w:pPr>
              <w:ind w:left="20"/>
              <w:spacing w:after="0"/>
              <w:rPr>
                <w:sz w:val="20"/>
                <w:szCs w:val="20"/>
                <w:color w:val="auto"/>
              </w:rPr>
            </w:pPr>
            <w:r>
              <w:rPr>
                <w:rFonts w:ascii="Arial" w:cs="Arial" w:eastAsia="Arial" w:hAnsi="Arial"/>
                <w:sz w:val="18"/>
                <w:szCs w:val="18"/>
                <w:color w:val="auto"/>
              </w:rPr>
              <w:t>/s/ Daniel O’Quinn</w:t>
            </w:r>
          </w:p>
        </w:tc>
        <w:tc>
          <w:tcPr>
            <w:tcW w:w="0" w:type="dxa"/>
            <w:vAlign w:val="bottom"/>
          </w:tcPr>
          <w:p>
            <w:pPr>
              <w:spacing w:after="0"/>
              <w:rPr>
                <w:sz w:val="1"/>
                <w:szCs w:val="1"/>
                <w:color w:val="auto"/>
              </w:rPr>
            </w:pPr>
          </w:p>
        </w:tc>
      </w:tr>
      <w:tr>
        <w:trPr>
          <w:trHeight w:val="27"/>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Name:</w:t>
            </w:r>
          </w:p>
        </w:tc>
        <w:tc>
          <w:tcPr>
            <w:tcW w:w="6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960" w:type="dxa"/>
            <w:vAlign w:val="bottom"/>
            <w:vMerge w:val="continue"/>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Daniel O’Quinn</w:t>
            </w:r>
          </w:p>
        </w:tc>
        <w:tc>
          <w:tcPr>
            <w:tcW w:w="0" w:type="dxa"/>
            <w:vAlign w:val="bottom"/>
          </w:tcPr>
          <w:p>
            <w:pPr>
              <w:spacing w:after="0"/>
              <w:rPr>
                <w:sz w:val="1"/>
                <w:szCs w:val="1"/>
                <w:color w:val="auto"/>
              </w:rPr>
            </w:pP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Title:</w:t>
            </w:r>
          </w:p>
        </w:tc>
        <w:tc>
          <w:tcPr>
            <w:tcW w:w="6020" w:type="dxa"/>
            <w:vAlign w:val="bottom"/>
          </w:tcPr>
          <w:p>
            <w:pPr>
              <w:ind w:left="20"/>
              <w:spacing w:after="0"/>
              <w:rPr>
                <w:sz w:val="20"/>
                <w:szCs w:val="20"/>
                <w:color w:val="auto"/>
              </w:rPr>
            </w:pPr>
            <w:r>
              <w:rPr>
                <w:rFonts w:ascii="Arial" w:cs="Arial" w:eastAsia="Arial" w:hAnsi="Arial"/>
                <w:sz w:val="18"/>
                <w:szCs w:val="18"/>
                <w:color w:val="auto"/>
              </w:rPr>
              <w:t>Interim Chief Financial Officer and Secretary</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May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093" w:right="359" w:bottom="1440" w:gutter="0" w:footer="0" w:header="0"/>
        </w:sectPr>
      </w:pPr>
    </w:p>
    <w:bookmarkStart w:id="29" w:name="page30"/>
    <w:bookmarkEnd w:id="29"/>
    <w:p>
      <w:pPr>
        <w:jc w:val="right"/>
        <w:spacing w:after="0"/>
        <w:rPr>
          <w:sz w:val="20"/>
          <w:szCs w:val="20"/>
          <w:color w:val="auto"/>
        </w:rPr>
      </w:pPr>
      <w:r>
        <w:rPr>
          <w:rFonts w:ascii="Arial" w:cs="Arial" w:eastAsia="Arial" w:hAnsi="Arial"/>
          <w:sz w:val="20"/>
          <w:szCs w:val="20"/>
          <w:b w:val="1"/>
          <w:bCs w:val="1"/>
          <w:color w:val="auto"/>
        </w:rPr>
        <w:t>Exhibit 10.1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 AND GENERAL RELEASE</w:t>
      </w:r>
    </w:p>
    <w:p>
      <w:pPr>
        <w:spacing w:after="0" w:line="24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In consideration of the promises contained herein, SciPlay Parent Company, LLC, 6601 Bermuda Road, Las Vegas, NV 89119 (the “</w:t>
      </w:r>
      <w:r>
        <w:rPr>
          <w:rFonts w:ascii="Arial" w:cs="Arial" w:eastAsia="Arial" w:hAnsi="Arial"/>
          <w:sz w:val="20"/>
          <w:szCs w:val="20"/>
          <w:u w:val="single" w:color="auto"/>
          <w:color w:val="auto"/>
        </w:rPr>
        <w:t>Company</w:t>
      </w:r>
      <w:r>
        <w:rPr>
          <w:rFonts w:ascii="Arial" w:cs="Arial" w:eastAsia="Arial" w:hAnsi="Arial"/>
          <w:sz w:val="20"/>
          <w:szCs w:val="20"/>
          <w:color w:val="auto"/>
        </w:rPr>
        <w:t>”) and James Bombassei, (“</w:t>
      </w:r>
      <w:r>
        <w:rPr>
          <w:rFonts w:ascii="Arial" w:cs="Arial" w:eastAsia="Arial" w:hAnsi="Arial"/>
          <w:sz w:val="20"/>
          <w:szCs w:val="20"/>
          <w:u w:val="single" w:color="auto"/>
          <w:color w:val="auto"/>
        </w:rPr>
        <w:t>you</w:t>
      </w:r>
      <w:r>
        <w:rPr>
          <w:rFonts w:ascii="Arial" w:cs="Arial" w:eastAsia="Arial" w:hAnsi="Arial"/>
          <w:sz w:val="20"/>
          <w:szCs w:val="20"/>
          <w:color w:val="auto"/>
        </w:rPr>
        <w:t>”), agree that:</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WHEREAS, you have been employed by the Company since December 1, 2022 pursuant to an employment agreement (the “</w:t>
      </w:r>
      <w:r>
        <w:rPr>
          <w:rFonts w:ascii="Arial" w:cs="Arial" w:eastAsia="Arial" w:hAnsi="Arial"/>
          <w:sz w:val="20"/>
          <w:szCs w:val="20"/>
          <w:u w:val="single" w:color="auto"/>
          <w:color w:val="auto"/>
        </w:rPr>
        <w:t>Employment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WHEREAS, your employment with the Company ended on February 18, 2023; and</w:t>
      </w:r>
    </w:p>
    <w:p>
      <w:pPr>
        <w:spacing w:after="0" w:line="24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WHEREAS, you and the Company wish to resolve all matters related to your employment with the Company, on the terms and conditions expressed in this Agreement and General Release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promises contained herein, the parties, intending to be legally bound, agree as follows:</w:t>
      </w:r>
    </w:p>
    <w:p>
      <w:pPr>
        <w:spacing w:after="0" w:line="260" w:lineRule="exact"/>
        <w:rPr>
          <w:sz w:val="20"/>
          <w:szCs w:val="20"/>
          <w:color w:val="auto"/>
        </w:rPr>
      </w:pPr>
    </w:p>
    <w:p>
      <w:pPr>
        <w:jc w:val="both"/>
        <w:ind w:left="660" w:hanging="328"/>
        <w:spacing w:after="0" w:line="246"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b w:val="1"/>
          <w:bCs w:val="1"/>
          <w:u w:val="single" w:color="auto"/>
          <w:color w:val="auto"/>
        </w:rPr>
        <w:t>Last Day of Employment</w:t>
      </w:r>
      <w:r>
        <w:rPr>
          <w:rFonts w:ascii="Arial" w:cs="Arial" w:eastAsia="Arial" w:hAnsi="Arial"/>
          <w:sz w:val="20"/>
          <w:szCs w:val="20"/>
          <w:color w:val="auto"/>
        </w:rPr>
        <w:t>. Your last day of employment with the Company was February 18, 2023 (the “</w:t>
      </w:r>
      <w:r>
        <w:rPr>
          <w:rFonts w:ascii="Arial" w:cs="Arial" w:eastAsia="Arial" w:hAnsi="Arial"/>
          <w:sz w:val="20"/>
          <w:szCs w:val="20"/>
          <w:u w:val="single" w:color="auto"/>
          <w:color w:val="auto"/>
        </w:rPr>
        <w:t>Separation Date</w:t>
      </w:r>
      <w:r>
        <w:rPr>
          <w:rFonts w:ascii="Arial" w:cs="Arial" w:eastAsia="Arial" w:hAnsi="Arial"/>
          <w:sz w:val="20"/>
          <w:szCs w:val="20"/>
          <w:color w:val="auto"/>
        </w:rPr>
        <w:t>”).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Agreement terminated on that date, except that any provisions in the Employment Agreement designed to survive termination will survive.</w:t>
      </w:r>
    </w:p>
    <w:p>
      <w:pPr>
        <w:spacing w:after="0" w:line="197" w:lineRule="exact"/>
        <w:rPr>
          <w:rFonts w:ascii="Arial" w:cs="Arial" w:eastAsia="Arial" w:hAnsi="Arial"/>
          <w:sz w:val="20"/>
          <w:szCs w:val="20"/>
          <w:color w:val="auto"/>
        </w:rPr>
      </w:pPr>
    </w:p>
    <w:p>
      <w:pPr>
        <w:ind w:left="660" w:hanging="328"/>
        <w:spacing w:after="0"/>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b w:val="1"/>
          <w:bCs w:val="1"/>
          <w:u w:val="single" w:color="auto"/>
          <w:color w:val="auto"/>
        </w:rPr>
        <w:t>Severance Benefits In Return for Signing</w:t>
      </w:r>
      <w:r>
        <w:rPr>
          <w:rFonts w:ascii="Arial" w:cs="Arial" w:eastAsia="Arial" w:hAnsi="Arial"/>
          <w:sz w:val="20"/>
          <w:szCs w:val="20"/>
          <w:color w:val="auto"/>
        </w:rPr>
        <w:t>.</w:t>
      </w:r>
    </w:p>
    <w:p>
      <w:pPr>
        <w:spacing w:after="0" w:line="248" w:lineRule="exact"/>
        <w:rPr>
          <w:rFonts w:ascii="Arial" w:cs="Arial" w:eastAsia="Arial" w:hAnsi="Arial"/>
          <w:sz w:val="20"/>
          <w:szCs w:val="20"/>
          <w:color w:val="auto"/>
        </w:rPr>
      </w:pPr>
    </w:p>
    <w:p>
      <w:pPr>
        <w:ind w:left="1300" w:hanging="324"/>
        <w:spacing w:after="0" w:line="272" w:lineRule="auto"/>
        <w:rPr>
          <w:rFonts w:ascii="Arial" w:cs="Arial" w:eastAsia="Arial" w:hAnsi="Arial"/>
          <w:sz w:val="20"/>
          <w:szCs w:val="20"/>
          <w:color w:val="auto"/>
        </w:rPr>
      </w:pPr>
      <w:r>
        <w:rPr>
          <w:rFonts w:ascii="Arial" w:cs="Arial" w:eastAsia="Arial" w:hAnsi="Arial"/>
          <w:sz w:val="18"/>
          <w:szCs w:val="18"/>
          <w:u w:val="single" w:color="auto"/>
          <w:color w:val="auto"/>
        </w:rPr>
        <w:t>a. Severance Benefits</w:t>
      </w:r>
      <w:r>
        <w:rPr>
          <w:rFonts w:ascii="Arial" w:cs="Arial" w:eastAsia="Arial" w:hAnsi="Arial"/>
          <w:sz w:val="18"/>
          <w:szCs w:val="18"/>
          <w:color w:val="auto"/>
        </w:rPr>
        <w:t>. In return for your signing this Agreement and complying with the promises made by you in this Agreement and the Employment Agreement, the Company will provide you with the following severance benefits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described below in subsections (i)-(iv). You acknowledge and agree that the Severance Benefits are separate from and in addition to what you are already entitled to receive from the Company. The Severance Benefits are:</w:t>
      </w:r>
    </w:p>
    <w:p>
      <w:pPr>
        <w:spacing w:after="0" w:line="182" w:lineRule="exact"/>
        <w:rPr>
          <w:rFonts w:ascii="Arial" w:cs="Arial" w:eastAsia="Arial" w:hAnsi="Arial"/>
          <w:sz w:val="20"/>
          <w:szCs w:val="20"/>
          <w:color w:val="auto"/>
        </w:rPr>
      </w:pPr>
    </w:p>
    <w:p>
      <w:pPr>
        <w:jc w:val="both"/>
        <w:ind w:left="1960" w:hanging="436"/>
        <w:spacing w:after="0" w:line="304" w:lineRule="auto"/>
        <w:tabs>
          <w:tab w:leader="none" w:pos="1960" w:val="left"/>
        </w:tabs>
        <w:numPr>
          <w:ilvl w:val="2"/>
          <w:numId w:val="20"/>
        </w:numPr>
        <w:rPr>
          <w:rFonts w:ascii="Arial" w:cs="Arial" w:eastAsia="Arial" w:hAnsi="Arial"/>
          <w:sz w:val="16"/>
          <w:szCs w:val="16"/>
          <w:color w:val="auto"/>
        </w:rPr>
      </w:pPr>
      <w:r>
        <w:rPr>
          <w:rFonts w:ascii="Arial" w:cs="Arial" w:eastAsia="Arial" w:hAnsi="Arial"/>
          <w:sz w:val="16"/>
          <w:szCs w:val="16"/>
          <w:color w:val="auto"/>
        </w:rPr>
        <w:t>The Company will pay you an amount equal to your annual base salary of $450,000.00, less required and/or authorized deductions and withholdings (including withholding at the supplemental rate as required), in bi-weekly installments and on the Company’s regular pay days and in accordance with the Company’s payroll practices over a twelve (12) month period. Such payments shall commence within the first full payroll period after the Effective Date (as defined in Section 12(b) of this Agreement) and the first payment shall include any amount that would have been paid if this Agreement was effective on the Separation Date, offset as necessary by any base salary paid to you for the period between the Separation Date and the date the first payment is made to you pursuant to this Section 2(a)(i).</w:t>
      </w:r>
    </w:p>
    <w:p>
      <w:pPr>
        <w:spacing w:after="0" w:line="164" w:lineRule="exact"/>
        <w:rPr>
          <w:rFonts w:ascii="Arial" w:cs="Arial" w:eastAsia="Arial" w:hAnsi="Arial"/>
          <w:sz w:val="16"/>
          <w:szCs w:val="16"/>
          <w:color w:val="auto"/>
        </w:rPr>
      </w:pPr>
    </w:p>
    <w:p>
      <w:pPr>
        <w:jc w:val="both"/>
        <w:ind w:left="1960" w:hanging="491"/>
        <w:spacing w:after="0" w:line="250" w:lineRule="auto"/>
        <w:tabs>
          <w:tab w:leader="none" w:pos="1960" w:val="left"/>
        </w:tabs>
        <w:numPr>
          <w:ilvl w:val="2"/>
          <w:numId w:val="20"/>
        </w:numPr>
        <w:rPr>
          <w:rFonts w:ascii="Arial" w:cs="Arial" w:eastAsia="Arial" w:hAnsi="Arial"/>
          <w:sz w:val="19"/>
          <w:szCs w:val="19"/>
          <w:color w:val="auto"/>
        </w:rPr>
      </w:pPr>
      <w:r>
        <w:rPr>
          <w:rFonts w:ascii="Arial" w:cs="Arial" w:eastAsia="Arial" w:hAnsi="Arial"/>
          <w:sz w:val="19"/>
          <w:szCs w:val="19"/>
          <w:color w:val="auto"/>
        </w:rPr>
        <w:t>No later than March 15, 2023, a Company representative will notify you if bonuses for the 2022 Fiscal Year under the Company’s Incentive Compensation Plan are approved for payment by the Compensation Committee. If approved, then no later than March 15, 2023, the Company will pay you a lump sum amount, subject to applicable withholdings, in the amount of any Target Bonus that would have been payable to you for Fiscal Year 2022, calculated and as approved by the Compensation Committee and without any upward or downward adjustment. As provided in Section 3(b) of your Employment Agreement, any bonus paid to you will be pro-rated to reflect that you worked for the Company for one month in 2022.</w:t>
      </w:r>
    </w:p>
    <w:p>
      <w:pPr>
        <w:spacing w:after="0" w:line="202" w:lineRule="exact"/>
        <w:rPr>
          <w:rFonts w:ascii="Arial" w:cs="Arial" w:eastAsia="Arial" w:hAnsi="Arial"/>
          <w:sz w:val="19"/>
          <w:szCs w:val="19"/>
          <w:color w:val="auto"/>
        </w:rPr>
      </w:pPr>
    </w:p>
    <w:p>
      <w:pPr>
        <w:jc w:val="both"/>
        <w:ind w:left="1960" w:hanging="546"/>
        <w:spacing w:after="0" w:line="272" w:lineRule="auto"/>
        <w:tabs>
          <w:tab w:leader="none" w:pos="19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No later than March 15, 2024, a Company representative will notify you if bonuses for the 2023 Fiscal Year under the Company’s Incentive Compensation Plan are approved for payment by the Compensation Committee. If approved, then no later than March 15, 2024, the Company will pay you a lump sum amount, subject to applicable withholdings, in the amount of any Target Bonus that would have been payable to you for Fiscal Year 2023,</w:t>
      </w:r>
    </w:p>
    <w:p>
      <w:pPr>
        <w:sectPr>
          <w:pgSz w:w="11900" w:h="16838" w:orient="portrait"/>
          <w:cols w:equalWidth="0" w:num="1">
            <w:col w:w="11240"/>
          </w:cols>
          <w:pgMar w:left="320" w:top="913" w:right="339" w:bottom="1440" w:gutter="0" w:footer="0" w:header="0"/>
        </w:sectPr>
      </w:pPr>
    </w:p>
    <w:bookmarkStart w:id="30" w:name="page31"/>
    <w:bookmarkEnd w:id="30"/>
    <w:p>
      <w:pPr>
        <w:jc w:val="both"/>
        <w:ind w:left="1304"/>
        <w:spacing w:after="0" w:line="243" w:lineRule="auto"/>
        <w:rPr>
          <w:sz w:val="20"/>
          <w:szCs w:val="20"/>
          <w:color w:val="auto"/>
        </w:rPr>
      </w:pPr>
      <w:r>
        <w:rPr>
          <w:rFonts w:ascii="Arial" w:cs="Arial" w:eastAsia="Arial" w:hAnsi="Arial"/>
          <w:sz w:val="20"/>
          <w:szCs w:val="20"/>
          <w:color w:val="auto"/>
        </w:rPr>
        <w:t>calculated and as approved by the Compensation Committee and without any upward or downward adjustment. Any bonus paid to you for the 2023 Fiscal Year will be pro-rated using the formula set forth in Section 4(e)(iii) of your Employment Agreement.</w:t>
      </w:r>
    </w:p>
    <w:p>
      <w:pPr>
        <w:spacing w:after="0" w:line="206" w:lineRule="exact"/>
        <w:rPr>
          <w:sz w:val="20"/>
          <w:szCs w:val="20"/>
          <w:color w:val="auto"/>
        </w:rPr>
      </w:pPr>
    </w:p>
    <w:p>
      <w:pPr>
        <w:jc w:val="both"/>
        <w:ind w:left="1304" w:hanging="535"/>
        <w:spacing w:after="0" w:line="246" w:lineRule="auto"/>
        <w:tabs>
          <w:tab w:leader="none" w:pos="1291" w:val="left"/>
        </w:tabs>
        <w:numPr>
          <w:ilvl w:val="2"/>
          <w:numId w:val="21"/>
        </w:numPr>
        <w:rPr>
          <w:rFonts w:ascii="Arial" w:cs="Arial" w:eastAsia="Arial" w:hAnsi="Arial"/>
          <w:sz w:val="19"/>
          <w:szCs w:val="19"/>
          <w:color w:val="auto"/>
        </w:rPr>
      </w:pPr>
      <w:r>
        <w:rPr>
          <w:rFonts w:ascii="Arial" w:cs="Arial" w:eastAsia="Arial" w:hAnsi="Arial"/>
          <w:sz w:val="19"/>
          <w:szCs w:val="19"/>
          <w:color w:val="auto"/>
        </w:rPr>
        <w:t>If you choose to continue your health insurance by properly and timely electing COBRA coverage under and pursuant to COBRA, 29 U.S.C. § 1161 et seq., the Company will pay the employee and employer share of the premiums (based on your current coverage elections) for up to a maximum of twelve (12) months (the "</w:t>
      </w:r>
      <w:r>
        <w:rPr>
          <w:rFonts w:ascii="Arial" w:cs="Arial" w:eastAsia="Arial" w:hAnsi="Arial"/>
          <w:sz w:val="19"/>
          <w:szCs w:val="19"/>
          <w:u w:val="single" w:color="auto"/>
          <w:color w:val="auto"/>
        </w:rPr>
        <w:t>COBRA</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 Period</w:t>
      </w:r>
      <w:r>
        <w:rPr>
          <w:rFonts w:ascii="Arial" w:cs="Arial" w:eastAsia="Arial" w:hAnsi="Arial"/>
          <w:sz w:val="19"/>
          <w:szCs w:val="19"/>
          <w:color w:val="auto"/>
        </w:rPr>
        <w:t>"). You acknowledge the COBRA Payment Period will end early if you become eligible for medical coverage from a new employer and you agree that you will immediately notify the Company in writing if you become eligible for such coverage by sending an e-mail to the Company's Chief Legal Officer. During the COBRA Payment Period, the premiums will be paid by the Company directly to the provider. After the COBRA Payment Period, you will be responsible for paying the entire COBRA premium on a timely basis if, and for as long as, you choose to elect COBRA continuation coverage, and to the extent that you remain eligible for COBRA continuation coverage as provided by state and federal laws. You will receive information on your opportunity to elect COBRA coverage under separate cover.</w:t>
      </w:r>
    </w:p>
    <w:p>
      <w:pPr>
        <w:spacing w:after="0" w:line="223" w:lineRule="exact"/>
        <w:rPr>
          <w:rFonts w:ascii="Arial" w:cs="Arial" w:eastAsia="Arial" w:hAnsi="Arial"/>
          <w:sz w:val="19"/>
          <w:szCs w:val="19"/>
          <w:color w:val="auto"/>
        </w:rPr>
      </w:pPr>
    </w:p>
    <w:p>
      <w:pPr>
        <w:ind w:left="644" w:hanging="320"/>
        <w:spacing w:after="0"/>
        <w:tabs>
          <w:tab w:leader="none" w:pos="644"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Additional Obligations</w:t>
      </w:r>
      <w:r>
        <w:rPr>
          <w:rFonts w:ascii="Arial" w:cs="Arial" w:eastAsia="Arial" w:hAnsi="Arial"/>
          <w:sz w:val="20"/>
          <w:szCs w:val="20"/>
          <w:color w:val="auto"/>
        </w:rPr>
        <w:t>. Additionally, the Company acknowledges the following obligations to you:</w:t>
      </w:r>
    </w:p>
    <w:p>
      <w:pPr>
        <w:spacing w:after="0" w:line="229" w:lineRule="exact"/>
        <w:rPr>
          <w:rFonts w:ascii="Arial" w:cs="Arial" w:eastAsia="Arial" w:hAnsi="Arial"/>
          <w:sz w:val="20"/>
          <w:szCs w:val="20"/>
          <w:color w:val="auto"/>
        </w:rPr>
      </w:pPr>
    </w:p>
    <w:p>
      <w:pPr>
        <w:jc w:val="both"/>
        <w:ind w:left="1304" w:hanging="436"/>
        <w:spacing w:after="0" w:line="243" w:lineRule="auto"/>
        <w:tabs>
          <w:tab w:leader="none" w:pos="1304" w:val="left"/>
        </w:tabs>
        <w:numPr>
          <w:ilvl w:val="3"/>
          <w:numId w:val="22"/>
        </w:numPr>
        <w:rPr>
          <w:rFonts w:ascii="Arial" w:cs="Arial" w:eastAsia="Arial" w:hAnsi="Arial"/>
          <w:sz w:val="20"/>
          <w:szCs w:val="20"/>
          <w:color w:val="auto"/>
        </w:rPr>
      </w:pPr>
      <w:r>
        <w:rPr>
          <w:rFonts w:ascii="Arial" w:cs="Arial" w:eastAsia="Arial" w:hAnsi="Arial"/>
          <w:sz w:val="20"/>
          <w:szCs w:val="20"/>
          <w:color w:val="auto"/>
        </w:rPr>
        <w:t>The Company shall pay you your regular base salary, accrued and unpaid up to and including the Separation Date pursuant to applicable law, less required and/or authorized deductions and withholdings, and payable in accordance with Company’s regular payroll practices;</w:t>
      </w:r>
    </w:p>
    <w:p>
      <w:pPr>
        <w:spacing w:after="0" w:line="219" w:lineRule="exact"/>
        <w:rPr>
          <w:rFonts w:ascii="Arial" w:cs="Arial" w:eastAsia="Arial" w:hAnsi="Arial"/>
          <w:sz w:val="20"/>
          <w:szCs w:val="20"/>
          <w:color w:val="auto"/>
        </w:rPr>
      </w:pPr>
    </w:p>
    <w:p>
      <w:pPr>
        <w:jc w:val="both"/>
        <w:ind w:left="1304" w:hanging="491"/>
        <w:spacing w:after="0" w:line="237" w:lineRule="auto"/>
        <w:tabs>
          <w:tab w:leader="none" w:pos="1304" w:val="left"/>
        </w:tabs>
        <w:numPr>
          <w:ilvl w:val="3"/>
          <w:numId w:val="22"/>
        </w:numPr>
        <w:rPr>
          <w:rFonts w:ascii="Arial" w:cs="Arial" w:eastAsia="Arial" w:hAnsi="Arial"/>
          <w:sz w:val="20"/>
          <w:szCs w:val="20"/>
          <w:color w:val="auto"/>
        </w:rPr>
      </w:pPr>
      <w:r>
        <w:rPr>
          <w:rFonts w:ascii="Arial" w:cs="Arial" w:eastAsia="Arial" w:hAnsi="Arial"/>
          <w:sz w:val="20"/>
          <w:szCs w:val="20"/>
          <w:color w:val="auto"/>
        </w:rPr>
        <w:t>The Company agrees to reimburse you for all reasonable and necessary out-of-pocket business-related expenses you incurred at the request of the Company prior to the Separation Date, provided that you shall submit reasonable documentation of such expenses prior to the Effective Date and in accordance with the applicable Company policy; and</w:t>
      </w:r>
    </w:p>
    <w:p>
      <w:pPr>
        <w:spacing w:after="0" w:line="212" w:lineRule="exact"/>
        <w:rPr>
          <w:rFonts w:ascii="Arial" w:cs="Arial" w:eastAsia="Arial" w:hAnsi="Arial"/>
          <w:sz w:val="20"/>
          <w:szCs w:val="20"/>
          <w:color w:val="auto"/>
        </w:rPr>
      </w:pPr>
    </w:p>
    <w:p>
      <w:pPr>
        <w:jc w:val="both"/>
        <w:ind w:left="1304" w:hanging="546"/>
        <w:spacing w:after="0" w:line="241" w:lineRule="auto"/>
        <w:tabs>
          <w:tab w:leader="none" w:pos="1304" w:val="left"/>
        </w:tabs>
        <w:numPr>
          <w:ilvl w:val="3"/>
          <w:numId w:val="22"/>
        </w:numPr>
        <w:rPr>
          <w:rFonts w:ascii="Arial" w:cs="Arial" w:eastAsia="Arial" w:hAnsi="Arial"/>
          <w:sz w:val="20"/>
          <w:szCs w:val="20"/>
          <w:color w:val="auto"/>
        </w:rPr>
      </w:pPr>
      <w:r>
        <w:rPr>
          <w:rFonts w:ascii="Arial" w:cs="Arial" w:eastAsia="Arial" w:hAnsi="Arial"/>
          <w:sz w:val="20"/>
          <w:szCs w:val="20"/>
          <w:color w:val="auto"/>
        </w:rPr>
        <w:t>Following the Separation Date, you shall be entitled to any amount arising from your participation in, or benefits under, any employee benefit plans, programs or arrangements that become payable as a result of your separation from the Company, which amounts shall be payable in accordance with the terms and conditions of such employee benefit plans, programs or arrangements and pursuant to applicable law.</w:t>
      </w:r>
    </w:p>
    <w:p>
      <w:pPr>
        <w:spacing w:after="0" w:line="210" w:lineRule="exact"/>
        <w:rPr>
          <w:rFonts w:ascii="Arial" w:cs="Arial" w:eastAsia="Arial" w:hAnsi="Arial"/>
          <w:sz w:val="20"/>
          <w:szCs w:val="20"/>
          <w:color w:val="auto"/>
        </w:rPr>
      </w:pPr>
    </w:p>
    <w:p>
      <w:pPr>
        <w:jc w:val="both"/>
        <w:ind w:left="644" w:hanging="320"/>
        <w:spacing w:after="0" w:line="236" w:lineRule="auto"/>
        <w:tabs>
          <w:tab w:leader="none" w:pos="633"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No Other Benefits</w:t>
      </w:r>
      <w:r>
        <w:rPr>
          <w:rFonts w:ascii="Arial" w:cs="Arial" w:eastAsia="Arial" w:hAnsi="Arial"/>
          <w:sz w:val="20"/>
          <w:szCs w:val="20"/>
          <w:color w:val="auto"/>
        </w:rPr>
        <w:t>. Except as provided in this Agreement, you shall not be entitled to receive any other payment, benefit or other form of compensation as a result of your employment or the termination thereof. You acknowledge that all unvested equity awards granted to you by the Company and/or Light &amp; Wonder, Inc., that are unvested as of the Separation Date are forfeited as of the Separation Date, including any time-vesting restricted stock units (including the unvested portions of your Sign-On Award and your Light &amp; Wonder, Inc. Time-Vested RSUs), performance-conditioned restricted stock units, stock options or cash grants. You further acknowledge that any entitlements pursuant to the Company’s SEIP are forfeited as of the Separation Date.</w:t>
      </w:r>
    </w:p>
    <w:p>
      <w:pPr>
        <w:spacing w:after="0" w:line="212" w:lineRule="exact"/>
        <w:rPr>
          <w:rFonts w:ascii="Arial" w:cs="Arial" w:eastAsia="Arial" w:hAnsi="Arial"/>
          <w:sz w:val="20"/>
          <w:szCs w:val="20"/>
          <w:color w:val="auto"/>
        </w:rPr>
      </w:pPr>
    </w:p>
    <w:p>
      <w:pPr>
        <w:ind w:left="644" w:right="20" w:hanging="320"/>
        <w:spacing w:after="0" w:line="246" w:lineRule="auto"/>
        <w:tabs>
          <w:tab w:leader="none" w:pos="644"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All payments made by the Company to you hereunder except for COBRA payments and expense reimbursements shall be subject to all applicable withholding deductions.</w:t>
      </w:r>
    </w:p>
    <w:p>
      <w:pPr>
        <w:spacing w:after="0" w:line="211" w:lineRule="exact"/>
        <w:rPr>
          <w:rFonts w:ascii="Arial" w:cs="Arial" w:eastAsia="Arial" w:hAnsi="Arial"/>
          <w:sz w:val="20"/>
          <w:szCs w:val="20"/>
          <w:color w:val="auto"/>
        </w:rPr>
      </w:pPr>
    </w:p>
    <w:p>
      <w:pPr>
        <w:jc w:val="both"/>
        <w:ind w:left="-656" w:firstLine="656"/>
        <w:spacing w:after="0" w:line="239" w:lineRule="auto"/>
        <w:tabs>
          <w:tab w:leader="none" w:pos="203" w:val="left"/>
        </w:tabs>
        <w:numPr>
          <w:ilvl w:val="0"/>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No Severance Benefits Unless You Sign this Agreement and Do Not Revoke It</w:t>
      </w:r>
      <w:r>
        <w:rPr>
          <w:rFonts w:ascii="Arial" w:cs="Arial" w:eastAsia="Arial" w:hAnsi="Arial"/>
          <w:sz w:val="20"/>
          <w:szCs w:val="20"/>
          <w:color w:val="auto"/>
        </w:rPr>
        <w:t>. You understand and agree that you will not</w:t>
      </w:r>
      <w:r>
        <w:rPr>
          <w:rFonts w:ascii="Arial" w:cs="Arial" w:eastAsia="Arial" w:hAnsi="Arial"/>
          <w:sz w:val="20"/>
          <w:szCs w:val="20"/>
          <w:b w:val="1"/>
          <w:bCs w:val="1"/>
          <w:color w:val="auto"/>
        </w:rPr>
        <w:t xml:space="preserve"> </w:t>
      </w:r>
      <w:r>
        <w:rPr>
          <w:rFonts w:ascii="Arial" w:cs="Arial" w:eastAsia="Arial" w:hAnsi="Arial"/>
          <w:sz w:val="20"/>
          <w:szCs w:val="20"/>
          <w:color w:val="auto"/>
        </w:rPr>
        <w:t>receive any of the Severance Benefits specified in Section 2 above unless: (a) you sign and return a fully signed copy of this Agreement within the time period specified below and do not revoke or rescind this Agreement within the time period specified below, and (b) you fulfill the promises contained herein in all material respects.</w:t>
      </w:r>
    </w:p>
    <w:p>
      <w:pPr>
        <w:spacing w:after="0" w:line="204" w:lineRule="exact"/>
        <w:rPr>
          <w:rFonts w:ascii="Arial" w:cs="Arial" w:eastAsia="Arial" w:hAnsi="Arial"/>
          <w:sz w:val="20"/>
          <w:szCs w:val="20"/>
          <w:color w:val="auto"/>
        </w:rPr>
      </w:pPr>
    </w:p>
    <w:p>
      <w:pPr>
        <w:ind w:left="-656" w:firstLine="656"/>
        <w:spacing w:after="0" w:line="267" w:lineRule="auto"/>
        <w:tabs>
          <w:tab w:leader="none" w:pos="190" w:val="left"/>
        </w:tabs>
        <w:numPr>
          <w:ilvl w:val="0"/>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General Release of Claims</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for the Severance Benefits specified in Section 2 above and the other promises made</w:t>
      </w:r>
      <w:r>
        <w:rPr>
          <w:rFonts w:ascii="Arial" w:cs="Arial" w:eastAsia="Arial" w:hAnsi="Arial"/>
          <w:sz w:val="20"/>
          <w:szCs w:val="20"/>
          <w:b w:val="1"/>
          <w:bCs w:val="1"/>
          <w:color w:val="auto"/>
        </w:rPr>
        <w:t xml:space="preserve"> </w:t>
      </w:r>
      <w:r>
        <w:rPr>
          <w:rFonts w:ascii="Arial" w:cs="Arial" w:eastAsia="Arial" w:hAnsi="Arial"/>
          <w:sz w:val="20"/>
          <w:szCs w:val="20"/>
          <w:color w:val="auto"/>
        </w:rPr>
        <w:t>herein, which you acknowledge are not otherwise owed to you, you understand</w:t>
      </w:r>
    </w:p>
    <w:p>
      <w:pPr>
        <w:sectPr>
          <w:pgSz w:w="11900" w:h="16838" w:orient="portrait"/>
          <w:cols w:equalWidth="0" w:num="1">
            <w:col w:w="10584"/>
          </w:cols>
          <w:pgMar w:left="976" w:top="892" w:right="339" w:bottom="1440" w:gutter="0" w:footer="0" w:header="0"/>
        </w:sectPr>
      </w:pPr>
    </w:p>
    <w:bookmarkStart w:id="31" w:name="page32"/>
    <w:bookmarkEnd w:id="31"/>
    <w:p>
      <w:pPr>
        <w:jc w:val="both"/>
        <w:spacing w:after="0" w:line="261" w:lineRule="auto"/>
        <w:rPr>
          <w:sz w:val="20"/>
          <w:szCs w:val="20"/>
          <w:color w:val="auto"/>
        </w:rPr>
      </w:pPr>
      <w:r>
        <w:rPr>
          <w:rFonts w:ascii="Arial" w:cs="Arial" w:eastAsia="Arial" w:hAnsi="Arial"/>
          <w:sz w:val="18"/>
          <w:szCs w:val="18"/>
          <w:color w:val="auto"/>
        </w:rPr>
        <w:t>and agree that you are knowingly and voluntarily releasing, waiving and forever discharging, to the fullest extent permitted by law, on your own behalf and on behalf of your agents, assignees, attorneys, heirs, executors, administrators and anyone else claiming by or through you (collectively referred to as the “</w:t>
      </w:r>
      <w:r>
        <w:rPr>
          <w:rFonts w:ascii="Arial" w:cs="Arial" w:eastAsia="Arial" w:hAnsi="Arial"/>
          <w:sz w:val="18"/>
          <w:szCs w:val="18"/>
          <w:u w:val="single" w:color="auto"/>
          <w:color w:val="auto"/>
        </w:rPr>
        <w:t>Releasors</w:t>
      </w:r>
      <w:r>
        <w:rPr>
          <w:rFonts w:ascii="Arial" w:cs="Arial" w:eastAsia="Arial" w:hAnsi="Arial"/>
          <w:sz w:val="18"/>
          <w:szCs w:val="18"/>
          <w:color w:val="auto"/>
        </w:rPr>
        <w:t>”): the Company, and its parents, affiliates, subsidiaries and members, predecessors, successors or assigns, including but not limited to Light &amp; Wonder, Inc., and any of its or their past or present parents, affiliates, subsidiaries and members, predecessors, successors or assigns; and any of its or their past or present shareholders; and any of its or their past or present directors, executives, members, officers, insurers, attorneys, employees, consultants, agents, both individually and in their business capacities, and employee benefits plans and trustees, fiduciaries, and administrators of those plans (collectively referred to as the “</w:t>
      </w:r>
      <w:r>
        <w:rPr>
          <w:rFonts w:ascii="Arial" w:cs="Arial" w:eastAsia="Arial" w:hAnsi="Arial"/>
          <w:sz w:val="18"/>
          <w:szCs w:val="18"/>
          <w:u w:val="single" w:color="auto"/>
          <w:color w:val="auto"/>
        </w:rPr>
        <w:t>Released Parties</w:t>
      </w:r>
      <w:r>
        <w:rPr>
          <w:rFonts w:ascii="Arial" w:cs="Arial" w:eastAsia="Arial" w:hAnsi="Arial"/>
          <w:sz w:val="18"/>
          <w:szCs w:val="18"/>
          <w:color w:val="auto"/>
        </w:rPr>
        <w:t xml:space="preserve"> ”), of and from any and all claims under local, state or federal law, whether known or unknown, asserted and unasserted, that you and/or the other Releasors have or may have against Released Parties as of the day you sign this Agreement, including but not limited to all matters relating to or in any way arising out of any aspect of your employment with the Company or Light &amp; Wonder, Inc., separation from employment with the Company, or your treatment by the Company while in the Company’s employ, all claims under any applicable law, and all other claims, charges, complaints, liens, demands, causes of action, obligations, damages (including punitive or exemplary damages), liabilities or the like (including without limitation attorneys’ fees and costs) (collectively “</w:t>
      </w:r>
      <w:r>
        <w:rPr>
          <w:rFonts w:ascii="Arial" w:cs="Arial" w:eastAsia="Arial" w:hAnsi="Arial"/>
          <w:sz w:val="18"/>
          <w:szCs w:val="18"/>
          <w:u w:val="single" w:color="auto"/>
          <w:color w:val="auto"/>
        </w:rPr>
        <w:t>Claims</w:t>
      </w:r>
      <w:r>
        <w:rPr>
          <w:rFonts w:ascii="Arial" w:cs="Arial" w:eastAsia="Arial" w:hAnsi="Arial"/>
          <w:sz w:val="18"/>
          <w:szCs w:val="18"/>
          <w:color w:val="auto"/>
        </w:rPr>
        <w:t>”), including but not limited to all Claims for:</w:t>
      </w:r>
    </w:p>
    <w:p>
      <w:pPr>
        <w:spacing w:after="0" w:line="192" w:lineRule="exact"/>
        <w:rPr>
          <w:sz w:val="20"/>
          <w:szCs w:val="20"/>
          <w:color w:val="auto"/>
        </w:rPr>
      </w:pPr>
    </w:p>
    <w:p>
      <w:pPr>
        <w:jc w:val="both"/>
        <w:ind w:firstLine="656"/>
        <w:spacing w:after="0" w:line="243" w:lineRule="auto"/>
        <w:tabs>
          <w:tab w:leader="none" w:pos="917" w:val="left"/>
        </w:tabs>
        <w:numPr>
          <w:ilvl w:val="0"/>
          <w:numId w:val="24"/>
        </w:numPr>
        <w:rPr>
          <w:rFonts w:ascii="Arial" w:cs="Arial" w:eastAsia="Arial" w:hAnsi="Arial"/>
          <w:sz w:val="20"/>
          <w:szCs w:val="20"/>
          <w:color w:val="auto"/>
        </w:rPr>
      </w:pPr>
      <w:r>
        <w:rPr>
          <w:rFonts w:ascii="Arial" w:cs="Arial" w:eastAsia="Arial" w:hAnsi="Arial"/>
          <w:sz w:val="20"/>
          <w:szCs w:val="20"/>
          <w:color w:val="auto"/>
        </w:rPr>
        <w:t>salary and other wages, including, but not limited to, overtime if applicable, incentive compensation and other bonuses, severance pay, paid time off or any benefits under the Employee Retirement Income Security Act of 1974, as amended, or any other applicable local, state or federal law;</w:t>
      </w:r>
    </w:p>
    <w:p>
      <w:pPr>
        <w:spacing w:after="0" w:line="219" w:lineRule="exact"/>
        <w:rPr>
          <w:rFonts w:ascii="Arial" w:cs="Arial" w:eastAsia="Arial" w:hAnsi="Arial"/>
          <w:sz w:val="20"/>
          <w:szCs w:val="20"/>
          <w:color w:val="auto"/>
        </w:rPr>
      </w:pPr>
    </w:p>
    <w:p>
      <w:pPr>
        <w:jc w:val="both"/>
        <w:ind w:firstLine="656"/>
        <w:spacing w:after="0" w:line="264"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discrimination, harassment or retaliation based upon race, color, national origin, ancestry, religion, marital status, sex, sexual orientation, citizenship status, pregnancy or any pregnancy related disability, family status, leave of absence (including but not limited to the Family Medical Leave Act or any other federal, state or local leave laws), handicap (including but not limited to The Rehabilitation Act of 1973), medical condition or disability, or any other characteristic covered by law under Title VII of the Civil Rights Act of 1964, as amended, the Civil Rights Act of 1991, the Americans with Disabilities Act, as amended, Sections 1981 through 1988 of the Civil Rights Act of 1866, and any other federal, state, or local law prohibiting discrimination in employment, the Worker Adjustment and Retraining Notification Act, or any other federal, state or local law concerning plant shutdowns, mass layoffs, reductions in force or other business restructuring;</w:t>
      </w:r>
    </w:p>
    <w:p>
      <w:pPr>
        <w:spacing w:after="0" w:line="201" w:lineRule="exact"/>
        <w:rPr>
          <w:rFonts w:ascii="Arial" w:cs="Arial" w:eastAsia="Arial" w:hAnsi="Arial"/>
          <w:sz w:val="18"/>
          <w:szCs w:val="18"/>
          <w:color w:val="auto"/>
        </w:rPr>
      </w:pPr>
    </w:p>
    <w:p>
      <w:pPr>
        <w:jc w:val="both"/>
        <w:ind w:firstLine="656"/>
        <w:spacing w:after="0" w:line="243" w:lineRule="auto"/>
        <w:tabs>
          <w:tab w:leader="none" w:pos="93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discrimination, harassment or retaliation based upon age under the Age Discrimination in Employment Act as amended by the Older Workers Benefit Protection Act of 1990 and as further amended (the “</w:t>
      </w:r>
      <w:r>
        <w:rPr>
          <w:rFonts w:ascii="Arial" w:cs="Arial" w:eastAsia="Arial" w:hAnsi="Arial"/>
          <w:sz w:val="20"/>
          <w:szCs w:val="20"/>
          <w:u w:val="single" w:color="auto"/>
          <w:color w:val="auto"/>
        </w:rPr>
        <w:t>ADEA</w:t>
      </w:r>
      <w:r>
        <w:rPr>
          <w:rFonts w:ascii="Arial" w:cs="Arial" w:eastAsia="Arial" w:hAnsi="Arial"/>
          <w:sz w:val="20"/>
          <w:szCs w:val="20"/>
          <w:color w:val="auto"/>
        </w:rPr>
        <w:t>”), or under any other federal, state, or local law prohibiting age discrimination;</w:t>
      </w:r>
    </w:p>
    <w:p>
      <w:pPr>
        <w:spacing w:after="0" w:line="205" w:lineRule="exact"/>
        <w:rPr>
          <w:rFonts w:ascii="Arial" w:cs="Arial" w:eastAsia="Arial" w:hAnsi="Arial"/>
          <w:sz w:val="20"/>
          <w:szCs w:val="20"/>
          <w:color w:val="auto"/>
        </w:rPr>
      </w:pPr>
    </w:p>
    <w:p>
      <w:pPr>
        <w:jc w:val="both"/>
        <w:ind w:firstLine="656"/>
        <w:spacing w:after="0" w:line="243" w:lineRule="auto"/>
        <w:tabs>
          <w:tab w:leader="none" w:pos="928" w:val="left"/>
        </w:tabs>
        <w:numPr>
          <w:ilvl w:val="0"/>
          <w:numId w:val="24"/>
        </w:numPr>
        <w:rPr>
          <w:rFonts w:ascii="Arial" w:cs="Arial" w:eastAsia="Arial" w:hAnsi="Arial"/>
          <w:sz w:val="20"/>
          <w:szCs w:val="20"/>
          <w:color w:val="auto"/>
        </w:rPr>
      </w:pPr>
      <w:r>
        <w:rPr>
          <w:rFonts w:ascii="Arial" w:cs="Arial" w:eastAsia="Arial" w:hAnsi="Arial"/>
          <w:sz w:val="20"/>
          <w:szCs w:val="20"/>
          <w:color w:val="auto"/>
        </w:rPr>
        <w:t>breach of implied or express contract (whether written or oral), breach of promise, misrepresentation, fraud, estoppel, waiver or breach of any covenant of good faith and fair dealing, including without limitation breach of any express or implied covenants of any employment agreement that may be applicable to you;</w:t>
      </w:r>
    </w:p>
    <w:p>
      <w:pPr>
        <w:spacing w:after="0" w:line="205" w:lineRule="exact"/>
        <w:rPr>
          <w:rFonts w:ascii="Arial" w:cs="Arial" w:eastAsia="Arial" w:hAnsi="Arial"/>
          <w:sz w:val="20"/>
          <w:szCs w:val="20"/>
          <w:color w:val="auto"/>
        </w:rPr>
      </w:pPr>
    </w:p>
    <w:p>
      <w:pPr>
        <w:ind w:firstLine="656"/>
        <w:spacing w:after="0" w:line="260" w:lineRule="auto"/>
        <w:tabs>
          <w:tab w:leader="none" w:pos="93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defamation, negligence, infliction of emotional distress, violation of public policy, wrongful or constructive discharge, or any employment-related tort recognized under any applicable local, state, or federal law;</w:t>
      </w:r>
    </w:p>
    <w:p>
      <w:pPr>
        <w:spacing w:after="0" w:line="190" w:lineRule="exact"/>
        <w:rPr>
          <w:rFonts w:ascii="Arial" w:cs="Arial" w:eastAsia="Arial" w:hAnsi="Arial"/>
          <w:sz w:val="20"/>
          <w:szCs w:val="20"/>
          <w:color w:val="auto"/>
        </w:rPr>
      </w:pPr>
    </w:p>
    <w:p>
      <w:pPr>
        <w:ind w:firstLine="656"/>
        <w:spacing w:after="0" w:line="260" w:lineRule="auto"/>
        <w:tabs>
          <w:tab w:leader="none" w:pos="895"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violation of any Fair Employment Practices Act, Equal Rights Act; Civil Rights Act; Minimum Fair Wages Act; Equal Pay Act; or Payment of Wages Act; or any comparable federal, state or local law;</w:t>
      </w:r>
    </w:p>
    <w:p>
      <w:pPr>
        <w:spacing w:after="0" w:line="190" w:lineRule="exact"/>
        <w:rPr>
          <w:rFonts w:ascii="Arial" w:cs="Arial" w:eastAsia="Arial" w:hAnsi="Arial"/>
          <w:sz w:val="20"/>
          <w:szCs w:val="20"/>
          <w:color w:val="auto"/>
        </w:rPr>
      </w:pPr>
    </w:p>
    <w:p>
      <w:pPr>
        <w:ind w:left="940" w:hanging="284"/>
        <w:spacing w:after="0"/>
        <w:tabs>
          <w:tab w:leader="none" w:pos="9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violation of the Immigration Reform and Control Act, or any comparable federal, state or local law;</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violation of the Fair Credit Reporting Act, or any comparable federal, state or local law;</w:t>
      </w:r>
    </w:p>
    <w:p>
      <w:pPr>
        <w:spacing w:after="0" w:line="242" w:lineRule="exact"/>
        <w:rPr>
          <w:rFonts w:ascii="Arial" w:cs="Arial" w:eastAsia="Arial" w:hAnsi="Arial"/>
          <w:sz w:val="20"/>
          <w:szCs w:val="20"/>
          <w:color w:val="auto"/>
        </w:rPr>
      </w:pPr>
    </w:p>
    <w:p>
      <w:pPr>
        <w:ind w:left="900" w:hanging="244"/>
        <w:spacing w:after="0"/>
        <w:tabs>
          <w:tab w:leader="none" w:pos="9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violation of the Family and Medical Leave Act;</w:t>
      </w:r>
    </w:p>
    <w:p>
      <w:pPr>
        <w:spacing w:after="0" w:line="229" w:lineRule="exact"/>
        <w:rPr>
          <w:rFonts w:ascii="Arial" w:cs="Arial" w:eastAsia="Arial" w:hAnsi="Arial"/>
          <w:sz w:val="20"/>
          <w:szCs w:val="20"/>
          <w:color w:val="auto"/>
        </w:rPr>
      </w:pPr>
    </w:p>
    <w:p>
      <w:pPr>
        <w:jc w:val="both"/>
        <w:ind w:firstLine="656"/>
        <w:spacing w:after="0" w:line="243" w:lineRule="auto"/>
        <w:tabs>
          <w:tab w:leader="none" w:pos="89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violation of the Nevada Fair Employment Practices Act (Nev. Rev. Stat. §613.310 et seq.), any Nevada wage and hour law (Nev. Rev. Stat. §608.016 et seq.), or any comparable federal, state or local law and any violation of any comparable statute, regulation, or law of any country or nation;</w:t>
      </w:r>
    </w:p>
    <w:p>
      <w:pPr>
        <w:sectPr>
          <w:pgSz w:w="11900" w:h="16838" w:orient="portrait"/>
          <w:cols w:equalWidth="0" w:num="1">
            <w:col w:w="11240"/>
          </w:cols>
          <w:pgMar w:left="320" w:top="892" w:right="339" w:bottom="1440" w:gutter="0" w:footer="0" w:header="0"/>
        </w:sectPr>
      </w:pPr>
    </w:p>
    <w:bookmarkStart w:id="32" w:name="page33"/>
    <w:bookmarkEnd w:id="32"/>
    <w:p>
      <w:pPr>
        <w:jc w:val="both"/>
        <w:ind w:firstLine="656"/>
        <w:spacing w:after="0" w:line="235" w:lineRule="auto"/>
        <w:tabs>
          <w:tab w:leader="none" w:pos="928"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violation of the Discrimination or Retaliation Claims (NOT Benefit Claims) under New York Workers’ Compensation Law, N.Y. Work. Comp. § 9, et seq.; New York Constitution, N.Y. Const. Art. 1, § 1, et seq.; New York Criminal and Consumer Background Laws, N.Y. Correct. § 752, et seq., N.Y. Gen. Bus. Law § 380-B, et seq.; New York Human Rights Law, N.Y. Exec. Law § 290, et seq.; New York Labor Law, N.Y. Labor § 10, et seq.; New York Marriage Equality Act, N.Y. Dom. Rel. Law § 10-a, et seq.; New York Persons With Genetic Disorders Law, N.Y. Civ. Rts. § 48, et seq.; New York Whistleblower Law, N.Y. Exec. Law § 740, et seq.; Regulations and wage orders of New York State Department of Labor; Regulations of New York State Division of Human Rights New York City Administrative Code and New York City Human Rights Law, N.Y.C. Admin. Code § 8-107, et seq.; and regulations of the New York City Commission on Human Rights.;</w:t>
      </w:r>
    </w:p>
    <w:p>
      <w:pPr>
        <w:spacing w:after="0" w:line="210" w:lineRule="exact"/>
        <w:rPr>
          <w:rFonts w:ascii="Arial" w:cs="Arial" w:eastAsia="Arial" w:hAnsi="Arial"/>
          <w:sz w:val="20"/>
          <w:szCs w:val="20"/>
          <w:color w:val="auto"/>
        </w:rPr>
      </w:pPr>
    </w:p>
    <w:p>
      <w:pPr>
        <w:ind w:left="900" w:hanging="244"/>
        <w:spacing w:after="0"/>
        <w:tabs>
          <w:tab w:leader="none" w:pos="9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costs, fees, or other expenses, including attorneys’ fees; and</w:t>
      </w:r>
    </w:p>
    <w:p>
      <w:pPr>
        <w:spacing w:after="0" w:line="242" w:lineRule="exact"/>
        <w:rPr>
          <w:rFonts w:ascii="Arial" w:cs="Arial" w:eastAsia="Arial" w:hAnsi="Arial"/>
          <w:sz w:val="20"/>
          <w:szCs w:val="20"/>
          <w:color w:val="auto"/>
        </w:rPr>
      </w:pPr>
    </w:p>
    <w:p>
      <w:pPr>
        <w:jc w:val="both"/>
        <w:ind w:firstLine="656"/>
        <w:spacing w:after="0" w:line="243" w:lineRule="auto"/>
        <w:tabs>
          <w:tab w:leader="none" w:pos="101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other claim, charge, complaint, lien, demand, cause of action, obligation, damages, liabilities or the like of any kind whatsoever, including, without limitation, any claim that this Agreement was induced or resulted from any fraud or misrepresentation by Company.</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Excluded from the release set forth in this Section 4 are: (i) any Claims or rights to enforce this Agreement against the Company, (ii) Claims arising after the date you sign this Agreement, (iii) any Claims that you cannot lawfully release, and (iv) your rights (collectively, “Indemnification Rights”) to indemnification (and advancement of legal fees and costs) as set forth in Section 7 of the Employment Agreement, your rights to indemnification (and advancement of legal fees and costs) under Light &amp; Wonder’s organizational documents or any other agreement or policy (including, without limitation, any applicable directors’ and officers’ liability insurance policy (all of which remain in full force and effect and are incorporated herein by reference and survive the Separation Date)). Notwithstanding anything to the contrary contained herein, including in Section 5 below, also excluded from the release set forth in this Section 4 is your right to file a charge with an administrative agency (including the Equal Employment Opportunity Commission and the National Labor Relations Board) or participate in any agency investigation. You are, however, to the extent allowed by law, waiving your right to recover money or other damages in connection with any such charge or investigation filed with the Equal Employment Opportunity Commission, the National Labor Relations Board or similar state or local agency. You are also, to the extent allowed by law, waiving your right to recover money in connection with a charge filed by any other individual or by the Equal Employment Opportunity Commission, National Labor Relations Board or similar state or local agency.</w:t>
      </w:r>
    </w:p>
    <w:p>
      <w:pPr>
        <w:spacing w:after="0" w:line="22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Furthermore, notwithstanding anything herein to the contrary, nothing in this Agreement or any other agreement with the Company shall (i) prohibit you from making reports of possible violations of federal law or regulation to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or (ii) require notification or prior approval by the Company of any reporting described in clause (i).</w:t>
      </w:r>
    </w:p>
    <w:p>
      <w:pPr>
        <w:spacing w:after="0" w:line="218" w:lineRule="exact"/>
        <w:rPr>
          <w:sz w:val="20"/>
          <w:szCs w:val="20"/>
          <w:color w:val="auto"/>
        </w:rPr>
      </w:pPr>
    </w:p>
    <w:p>
      <w:pPr>
        <w:ind w:left="860" w:hanging="204"/>
        <w:spacing w:after="0"/>
        <w:tabs>
          <w:tab w:leader="none" w:pos="860" w:val="left"/>
        </w:tabs>
        <w:numPr>
          <w:ilvl w:val="0"/>
          <w:numId w:val="26"/>
        </w:numPr>
        <w:rPr>
          <w:rFonts w:ascii="Arial" w:cs="Arial" w:eastAsia="Arial" w:hAnsi="Arial"/>
          <w:sz w:val="20"/>
          <w:szCs w:val="20"/>
          <w:color w:val="auto"/>
        </w:rPr>
      </w:pPr>
      <w:r>
        <w:rPr>
          <w:rFonts w:ascii="Arial" w:cs="Arial" w:eastAsia="Arial" w:hAnsi="Arial"/>
          <w:sz w:val="20"/>
          <w:szCs w:val="20"/>
          <w:b w:val="1"/>
          <w:bCs w:val="1"/>
          <w:u w:val="single" w:color="auto"/>
          <w:color w:val="auto"/>
        </w:rPr>
        <w:t>Additional Agreements by Employee</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firstLine="656"/>
        <w:spacing w:after="0" w:line="246" w:lineRule="auto"/>
        <w:tabs>
          <w:tab w:leader="none" w:pos="930" w:val="left"/>
        </w:tabs>
        <w:numPr>
          <w:ilvl w:val="0"/>
          <w:numId w:val="27"/>
        </w:numPr>
        <w:rPr>
          <w:rFonts w:ascii="Arial" w:cs="Arial" w:eastAsia="Arial" w:hAnsi="Arial"/>
          <w:sz w:val="19"/>
          <w:szCs w:val="19"/>
          <w:color w:val="auto"/>
        </w:rPr>
      </w:pPr>
      <w:r>
        <w:rPr>
          <w:rFonts w:ascii="Arial" w:cs="Arial" w:eastAsia="Arial" w:hAnsi="Arial"/>
          <w:sz w:val="19"/>
          <w:szCs w:val="19"/>
          <w:color w:val="auto"/>
        </w:rPr>
        <w:t>BY SIGNING THIS AGREEMENT YOU ARE KNOWINGLY AND VOLUNTARILY WAIVING ANY RIGHTS (KNOWN OR UNKNOWN) TO BRING OR PROSECUTE A LAWSUIT OR MAKE ANY LEGAL CLAIM AGAINST THE RELEASED PARTIES WITH RESPECT TO ANY OF THE CLAIMS DESCRIBED ABOVE IN SECTION 4. You agree that the release set forth above will bar all claims or demands of every kind, known or unknown, referred to above in Section 4 and further agree that no non-governmental person, organization or other entity acting on your behalf has in the past or will in the future file any lawsuit, arbitration or proceeding asserting any claim that is waived or released under this Agreement. If you break this promise and file a lawsuit, arbitration or other proceeding asserting any Claim waived in this Agreement, (i) you will pay for all costs, including reasonable attorneys’ fees, incurred by the Released Parties in defending against such Claim (unless such Claim is a charge with the Equal Employment Opportunity Commission or the National Labor Relations Board); (ii) you give up any right to individual damages in connection with any administrative, arbitration or court proceeding with respect to your employment with and/or termination from employment with the Company, including damages, reinstatement or attorneys' fees; and (iii) if you are awarded money damages, you will assign to the Released Parties your right and interest to all such money damages. If any claim is not subject to release, to the extent permitted by law, you waive any right or ability to be a class or collective action representative or to otherwise participate in any</w:t>
      </w:r>
    </w:p>
    <w:p>
      <w:pPr>
        <w:sectPr>
          <w:pgSz w:w="11900" w:h="16838" w:orient="portrait"/>
          <w:cols w:equalWidth="0" w:num="1">
            <w:col w:w="11240"/>
          </w:cols>
          <w:pgMar w:left="320" w:top="1135" w:right="339" w:bottom="1440" w:gutter="0" w:footer="0" w:header="0"/>
        </w:sectPr>
      </w:pPr>
    </w:p>
    <w:bookmarkStart w:id="33" w:name="page34"/>
    <w:bookmarkEnd w:id="33"/>
    <w:p>
      <w:pPr>
        <w:jc w:val="both"/>
        <w:spacing w:after="0" w:line="250" w:lineRule="auto"/>
        <w:rPr>
          <w:sz w:val="20"/>
          <w:szCs w:val="20"/>
          <w:color w:val="auto"/>
        </w:rPr>
      </w:pPr>
      <w:r>
        <w:rPr>
          <w:rFonts w:ascii="Arial" w:cs="Arial" w:eastAsia="Arial" w:hAnsi="Arial"/>
          <w:sz w:val="19"/>
          <w:szCs w:val="19"/>
          <w:color w:val="auto"/>
        </w:rPr>
        <w:t>putative or certified class, collective or multi-party action or proceeding based on such a claim in which Company or any other Released Party is a party. Furthermore, if you are made a member of a class or collective action in any proceeding without your prior knowledge or consent, you agree to opt out of the class or collective action at the first opportunity. Notwithstanding the foregoing, this Section 5 does not limit your right to challenge the validity of this Agreement in a legal proceeding under the Older Workers Benefit Protection Act, 29 U.S.C. § 626(f), with respect to claims under the ADEA. This Section also is not intended to and shall not limit the right of a court to determine, in its discretion, that the Company is entitled to restitution, recoupment or setoff of any payments made to you by the Company should this Agreement be found to be invalid as to the release of claims under the ADEA.</w:t>
      </w:r>
    </w:p>
    <w:p>
      <w:pPr>
        <w:spacing w:after="0" w:line="202" w:lineRule="exact"/>
        <w:rPr>
          <w:sz w:val="20"/>
          <w:szCs w:val="20"/>
          <w:color w:val="auto"/>
        </w:rPr>
      </w:pPr>
    </w:p>
    <w:p>
      <w:pPr>
        <w:jc w:val="both"/>
        <w:ind w:firstLine="656"/>
        <w:spacing w:after="0" w:line="253" w:lineRule="auto"/>
        <w:tabs>
          <w:tab w:leader="none" w:pos="942" w:val="left"/>
        </w:tabs>
        <w:numPr>
          <w:ilvl w:val="0"/>
          <w:numId w:val="28"/>
        </w:numPr>
        <w:rPr>
          <w:rFonts w:ascii="Arial" w:cs="Arial" w:eastAsia="Arial" w:hAnsi="Arial"/>
          <w:sz w:val="19"/>
          <w:szCs w:val="19"/>
          <w:color w:val="auto"/>
        </w:rPr>
      </w:pPr>
      <w:r>
        <w:rPr>
          <w:rFonts w:ascii="Arial" w:cs="Arial" w:eastAsia="Arial" w:hAnsi="Arial"/>
          <w:sz w:val="19"/>
          <w:szCs w:val="19"/>
          <w:color w:val="auto"/>
        </w:rPr>
        <w:t>You agree that you shall not solicit, encourage, assist or participate (directly or indirectly) in bringing any Claims or actions against any of the Released Parties by other current or former employees, officers or third parties, except as compelled by subpoena or other court order or legal process, and only after providing the Company with prior notice of any such subpoena, order or legal process and an opportunity to timely contest such process. Notwithstanding the foregoing, nothing in this Agreement shall preclude you from making truthful statements that are required by applicable law, regulation or legal process.</w:t>
      </w:r>
    </w:p>
    <w:p>
      <w:pPr>
        <w:spacing w:after="0" w:line="198" w:lineRule="exact"/>
        <w:rPr>
          <w:rFonts w:ascii="Arial" w:cs="Arial" w:eastAsia="Arial" w:hAnsi="Arial"/>
          <w:sz w:val="19"/>
          <w:szCs w:val="19"/>
          <w:color w:val="auto"/>
        </w:rPr>
      </w:pPr>
    </w:p>
    <w:p>
      <w:pPr>
        <w:jc w:val="both"/>
        <w:ind w:firstLine="656"/>
        <w:spacing w:after="0" w:line="236" w:lineRule="auto"/>
        <w:tabs>
          <w:tab w:leader="none" w:pos="917" w:val="left"/>
        </w:tabs>
        <w:numPr>
          <w:ilvl w:val="0"/>
          <w:numId w:val="28"/>
        </w:numPr>
        <w:rPr>
          <w:rFonts w:ascii="Arial" w:cs="Arial" w:eastAsia="Arial" w:hAnsi="Arial"/>
          <w:sz w:val="20"/>
          <w:szCs w:val="20"/>
          <w:color w:val="auto"/>
        </w:rPr>
      </w:pPr>
      <w:r>
        <w:rPr>
          <w:rFonts w:ascii="Arial" w:cs="Arial" w:eastAsia="Arial" w:hAnsi="Arial"/>
          <w:sz w:val="20"/>
          <w:szCs w:val="20"/>
          <w:color w:val="auto"/>
        </w:rPr>
        <w:t>You represent and warrant that you have not filed any administrative, judicial or other form of complaint or initiated any claim, charge, complaint or formal legal proceeding, nor are you a party to any such claim, against any of the Released Parties, and that you will not make such a filing at any time hereafter based on any events or omissions occurring prior to the date of execution of this Agreement. You understand and agree that this Agreement will be pleaded as a full and complete defense to any action, suit or proceeding which is or may be instituted, prosecuted or maintained by you, your agents, assignees, attorneys, heirs, executors, administrators and anyone else claiming by or through you.</w:t>
      </w:r>
    </w:p>
    <w:p>
      <w:pPr>
        <w:spacing w:after="0" w:line="222" w:lineRule="exact"/>
        <w:rPr>
          <w:rFonts w:ascii="Arial" w:cs="Arial" w:eastAsia="Arial" w:hAnsi="Arial"/>
          <w:sz w:val="20"/>
          <w:szCs w:val="20"/>
          <w:color w:val="auto"/>
        </w:rPr>
      </w:pPr>
    </w:p>
    <w:p>
      <w:pPr>
        <w:ind w:left="940" w:hanging="284"/>
        <w:spacing w:after="0"/>
        <w:tabs>
          <w:tab w:leader="none" w:pos="9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You agree to cooperate with Company and take all necessary steps to effectuate this Agreement, each of its terms and the intent of</w:t>
      </w:r>
    </w:p>
    <w:p>
      <w:pPr>
        <w:spacing w:after="0" w:line="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the parties.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6. </w:t>
      </w:r>
      <w:r>
        <w:rPr>
          <w:rFonts w:ascii="Arial" w:cs="Arial" w:eastAsia="Arial" w:hAnsi="Arial"/>
          <w:sz w:val="20"/>
          <w:szCs w:val="20"/>
          <w:b w:val="1"/>
          <w:bCs w:val="1"/>
          <w:u w:val="single" w:color="auto"/>
          <w:color w:val="auto"/>
        </w:rPr>
        <w:t>Affirmations</w:t>
      </w:r>
      <w:r>
        <w:rPr>
          <w:rFonts w:ascii="Arial" w:cs="Arial" w:eastAsia="Arial" w:hAnsi="Arial"/>
          <w:sz w:val="20"/>
          <w:szCs w:val="20"/>
          <w:color w:val="auto"/>
        </w:rPr>
        <w:t>. In signing this Agreement, you are affirming that:</w:t>
      </w:r>
    </w:p>
    <w:p>
      <w:pPr>
        <w:spacing w:after="0" w:line="249" w:lineRule="exact"/>
        <w:rPr>
          <w:sz w:val="20"/>
          <w:szCs w:val="20"/>
          <w:color w:val="auto"/>
        </w:rPr>
      </w:pPr>
    </w:p>
    <w:p>
      <w:pPr>
        <w:jc w:val="both"/>
        <w:ind w:firstLine="656"/>
        <w:spacing w:after="0" w:line="262" w:lineRule="auto"/>
        <w:tabs>
          <w:tab w:leader="none" w:pos="917" w:val="left"/>
        </w:tabs>
        <w:numPr>
          <w:ilvl w:val="1"/>
          <w:numId w:val="29"/>
        </w:numPr>
        <w:rPr>
          <w:rFonts w:ascii="Arial" w:cs="Arial" w:eastAsia="Arial" w:hAnsi="Arial"/>
          <w:sz w:val="19"/>
          <w:szCs w:val="19"/>
          <w:color w:val="auto"/>
        </w:rPr>
      </w:pPr>
      <w:r>
        <w:rPr>
          <w:rFonts w:ascii="Arial" w:cs="Arial" w:eastAsia="Arial" w:hAnsi="Arial"/>
          <w:sz w:val="19"/>
          <w:szCs w:val="19"/>
          <w:color w:val="auto"/>
        </w:rPr>
        <w:t>You have been paid and/or have received all compensation, wages, bonuses, commissions, and/or benefits to which you may be entitled (except as set forth in this Agreement). You affirm that you have been granted or not been denied any leave to which you were entitled under the Family and Medical Leave Act or related state or local leave or disability accommodation laws;</w:t>
      </w:r>
    </w:p>
    <w:p>
      <w:pPr>
        <w:spacing w:after="0" w:line="188" w:lineRule="exact"/>
        <w:rPr>
          <w:rFonts w:ascii="Arial" w:cs="Arial" w:eastAsia="Arial" w:hAnsi="Arial"/>
          <w:sz w:val="19"/>
          <w:szCs w:val="19"/>
          <w:color w:val="auto"/>
        </w:rPr>
      </w:pPr>
    </w:p>
    <w:p>
      <w:pPr>
        <w:ind w:firstLine="656"/>
        <w:spacing w:after="0" w:line="260" w:lineRule="auto"/>
        <w:tabs>
          <w:tab w:leader="none" w:pos="955" w:val="left"/>
        </w:tabs>
        <w:numPr>
          <w:ilvl w:val="1"/>
          <w:numId w:val="29"/>
        </w:numPr>
        <w:rPr>
          <w:rFonts w:ascii="Arial" w:cs="Arial" w:eastAsia="Arial" w:hAnsi="Arial"/>
          <w:sz w:val="20"/>
          <w:szCs w:val="20"/>
          <w:color w:val="auto"/>
        </w:rPr>
      </w:pPr>
      <w:r>
        <w:rPr>
          <w:rFonts w:ascii="Arial" w:cs="Arial" w:eastAsia="Arial" w:hAnsi="Arial"/>
          <w:sz w:val="20"/>
          <w:szCs w:val="20"/>
          <w:color w:val="auto"/>
        </w:rPr>
        <w:t>You are not eligible to receive payments or benefits under any other Company and/or other Released Party’s severance pay policy, plan, practice or arrangement;</w:t>
      </w:r>
    </w:p>
    <w:p>
      <w:pPr>
        <w:spacing w:after="0" w:line="190" w:lineRule="exact"/>
        <w:rPr>
          <w:rFonts w:ascii="Arial" w:cs="Arial" w:eastAsia="Arial" w:hAnsi="Arial"/>
          <w:sz w:val="20"/>
          <w:szCs w:val="20"/>
          <w:color w:val="auto"/>
        </w:rPr>
      </w:pPr>
    </w:p>
    <w:p>
      <w:pPr>
        <w:ind w:left="920" w:hanging="264"/>
        <w:spacing w:after="0"/>
        <w:tabs>
          <w:tab w:leader="none" w:pos="9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You have no known workplace injuries or occupational diseases;</w:t>
      </w:r>
    </w:p>
    <w:p>
      <w:pPr>
        <w:spacing w:after="0" w:line="229" w:lineRule="exact"/>
        <w:rPr>
          <w:rFonts w:ascii="Arial" w:cs="Arial" w:eastAsia="Arial" w:hAnsi="Arial"/>
          <w:sz w:val="20"/>
          <w:szCs w:val="20"/>
          <w:color w:val="auto"/>
        </w:rPr>
      </w:pPr>
    </w:p>
    <w:p>
      <w:pPr>
        <w:jc w:val="both"/>
        <w:ind w:firstLine="656"/>
        <w:spacing w:after="0" w:line="253" w:lineRule="auto"/>
        <w:tabs>
          <w:tab w:leader="none" w:pos="928" w:val="left"/>
        </w:tabs>
        <w:numPr>
          <w:ilvl w:val="1"/>
          <w:numId w:val="29"/>
        </w:numPr>
        <w:rPr>
          <w:rFonts w:ascii="Arial" w:cs="Arial" w:eastAsia="Arial" w:hAnsi="Arial"/>
          <w:sz w:val="19"/>
          <w:szCs w:val="19"/>
          <w:color w:val="auto"/>
        </w:rPr>
      </w:pPr>
      <w:r>
        <w:rPr>
          <w:rFonts w:ascii="Arial" w:cs="Arial" w:eastAsia="Arial" w:hAnsi="Arial"/>
          <w:sz w:val="19"/>
          <w:szCs w:val="19"/>
          <w:color w:val="auto"/>
        </w:rPr>
        <w:t>You have not complained of and you are not aware of any fraudulent activity or any act(s) which would form the basis of a claim of fraudulent or illegal activity by the Company or any other Released Party that you have not reported to the Company in writing. You also affirm that you have not been retaliated against for reporting any allegations of wrongdoing by any Released Party, including any allegations of corporate fraud. Both parties acknowledge that this Agreement does not limit either party’s right, where applicable, to file or to participate in an investigative proceeding of any federal, state or local governmental agency;</w:t>
      </w:r>
    </w:p>
    <w:p>
      <w:pPr>
        <w:spacing w:after="0" w:line="211" w:lineRule="exact"/>
        <w:rPr>
          <w:rFonts w:ascii="Arial" w:cs="Arial" w:eastAsia="Arial" w:hAnsi="Arial"/>
          <w:sz w:val="19"/>
          <w:szCs w:val="19"/>
          <w:color w:val="auto"/>
        </w:rPr>
      </w:pPr>
    </w:p>
    <w:p>
      <w:pPr>
        <w:jc w:val="both"/>
        <w:ind w:firstLine="8"/>
        <w:spacing w:after="0" w:line="237" w:lineRule="auto"/>
        <w:tabs>
          <w:tab w:leader="none" w:pos="269" w:val="left"/>
        </w:tabs>
        <w:numPr>
          <w:ilvl w:val="0"/>
          <w:numId w:val="30"/>
        </w:numPr>
        <w:rPr>
          <w:rFonts w:ascii="Arial" w:cs="Arial" w:eastAsia="Arial" w:hAnsi="Arial"/>
          <w:sz w:val="20"/>
          <w:szCs w:val="20"/>
          <w:color w:val="auto"/>
        </w:rPr>
      </w:pPr>
      <w:r>
        <w:rPr>
          <w:rFonts w:ascii="Arial" w:cs="Arial" w:eastAsia="Arial" w:hAnsi="Arial"/>
          <w:sz w:val="20"/>
          <w:szCs w:val="20"/>
          <w:color w:val="auto"/>
        </w:rPr>
        <w:t>You acknowledge and agree that all of the Company’s decisions regarding your pay and benefits through the date of your execution of this Agreement were not discriminatory based on age, disability, race, color, sex, religion, national origin, or any other classification protected by law;</w:t>
      </w:r>
    </w:p>
    <w:p>
      <w:pPr>
        <w:spacing w:after="0" w:line="223" w:lineRule="exact"/>
        <w:rPr>
          <w:rFonts w:ascii="Arial" w:cs="Arial" w:eastAsia="Arial" w:hAnsi="Arial"/>
          <w:sz w:val="20"/>
          <w:szCs w:val="20"/>
          <w:color w:val="auto"/>
        </w:rPr>
      </w:pPr>
    </w:p>
    <w:p>
      <w:pPr>
        <w:jc w:val="both"/>
        <w:ind w:firstLine="656"/>
        <w:spacing w:after="0" w:line="237" w:lineRule="auto"/>
        <w:tabs>
          <w:tab w:leader="none" w:pos="909" w:val="left"/>
        </w:tabs>
        <w:numPr>
          <w:ilvl w:val="1"/>
          <w:numId w:val="30"/>
        </w:numPr>
        <w:rPr>
          <w:rFonts w:ascii="Arial" w:cs="Arial" w:eastAsia="Arial" w:hAnsi="Arial"/>
          <w:sz w:val="20"/>
          <w:szCs w:val="20"/>
          <w:color w:val="auto"/>
        </w:rPr>
      </w:pPr>
      <w:r>
        <w:rPr>
          <w:rFonts w:ascii="Arial" w:cs="Arial" w:eastAsia="Arial" w:hAnsi="Arial"/>
          <w:sz w:val="20"/>
          <w:szCs w:val="20"/>
          <w:color w:val="auto"/>
        </w:rPr>
        <w:t>On or about the Separation Date, or within a reasonable time thereafter, the Company provided you with timely and adequate notice of your right to continue group insurance benefits under COBRA (unless such notice was not required to be given because, on the day before termination, you did not receive group health insurance benefits through the Company and thus are not a qualified beneficiary within the meaning of COBRA); and</w:t>
      </w:r>
    </w:p>
    <w:p>
      <w:pPr>
        <w:sectPr>
          <w:pgSz w:w="11900" w:h="16838" w:orient="portrait"/>
          <w:cols w:equalWidth="0" w:num="1">
            <w:col w:w="11240"/>
          </w:cols>
          <w:pgMar w:left="320" w:top="892" w:right="339" w:bottom="1440" w:gutter="0" w:footer="0" w:header="0"/>
        </w:sectPr>
      </w:pPr>
    </w:p>
    <w:bookmarkStart w:id="34" w:name="page35"/>
    <w:bookmarkEnd w:id="34"/>
    <w:p>
      <w:pPr>
        <w:jc w:val="both"/>
        <w:ind w:firstLine="656"/>
        <w:spacing w:after="0" w:line="266" w:lineRule="auto"/>
        <w:tabs>
          <w:tab w:leader="none" w:pos="9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acknowledge and agree that if you willfully or materially breach the provisions of this Agreement (including, but not limited to, Section 8 or the provisions of the Employment Agreement which survive), that the Company will have the right to seek an appropriate remedy against you, which may include, but not be limited to, injunctive relief, the return of the Severance Benefits, other monetary damages, and the payment of the Company’s attorneys’ fees. Additionally, if you willfully or materially breach this Agreement, Company shall have the right, without waiving any other remedies in law or equity, to cease any further payments pursuant to Section 2. Notwithstanding such cessation of payments, all of your obligations hereunder shall be continuing and enforceable including but not limited to your release of claims, and the Company shall be entitled to pursue all remedies against you available at law or in equity for such breach.</w:t>
      </w:r>
    </w:p>
    <w:p>
      <w:pPr>
        <w:spacing w:after="0" w:line="184" w:lineRule="exact"/>
        <w:rPr>
          <w:sz w:val="20"/>
          <w:szCs w:val="20"/>
          <w:color w:val="auto"/>
        </w:rPr>
      </w:pPr>
    </w:p>
    <w:p>
      <w:pPr>
        <w:ind w:firstLine="656"/>
        <w:spacing w:after="0" w:line="253" w:lineRule="auto"/>
        <w:tabs>
          <w:tab w:leader="none" w:pos="846"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Confidentiality; Communications</w:t>
      </w:r>
      <w:r>
        <w:rPr>
          <w:rFonts w:ascii="Arial" w:cs="Arial" w:eastAsia="Arial" w:hAnsi="Arial"/>
          <w:sz w:val="19"/>
          <w:szCs w:val="19"/>
          <w:color w:val="auto"/>
        </w:rPr>
        <w:t>. You and the Company (on its own behalf and on behalf of the other Released Parties) agree</w:t>
      </w:r>
      <w:r>
        <w:rPr>
          <w:rFonts w:ascii="Arial" w:cs="Arial" w:eastAsia="Arial" w:hAnsi="Arial"/>
          <w:sz w:val="19"/>
          <w:szCs w:val="19"/>
          <w:b w:val="1"/>
          <w:bCs w:val="1"/>
          <w:color w:val="auto"/>
        </w:rPr>
        <w:t xml:space="preserve"> </w:t>
      </w:r>
      <w:r>
        <w:rPr>
          <w:rFonts w:ascii="Arial" w:cs="Arial" w:eastAsia="Arial" w:hAnsi="Arial"/>
          <w:sz w:val="19"/>
          <w:szCs w:val="19"/>
          <w:color w:val="auto"/>
        </w:rPr>
        <w:t>that it is a material condition of this Agreement that neither you nor the Company or such other Released Party will directly or indirectly make or issue any private statement, press release or public statement, or communicate or otherwise disclose to any employee of the Company (past, present or future) or to a member of the general public, the negotiations leading to, or the terms, amounts or facts of or circumstances underlying this Agreement, except (a) as may be required by law or compulsory process, (b) as required to be publicly disclosed (other than through the applicable party’s breach of this provision), (c) truthful statements made by the Company or you in response to the other party’s breach of this Section 7, or (d) truthful statements made in any deposition, lawsuit, arbitration or similar dispute resolution proceeding involving you, the Company or any third party, where such statements are relevant to such deposition, lawsuit, arbitration or similar dispute resolution proceeding, as applicable. The Company will provide you a reasonable opportunity to review and comment on communications (including disclosures) of the Company regarding your departure from the Company and this Agreement to the extent reasonably practicable under the circumstances. You and the Company acknowledge and affirm your non-disparagement obligations under Section 5 of the Employment Agreement. The Company will direct Josh Wilson not to disparage you and not to encourage others to disparage you.</w:t>
      </w:r>
    </w:p>
    <w:p>
      <w:pPr>
        <w:spacing w:after="0" w:line="21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In the event you seek to provide confirmation of your employment with the Company or Light &amp; Wonder to a prospective employer, then you will not direct any prospective employer to contact any employee or manager of the Company or of Light &amp; Wonder. Instead, you will direct any prospective employer to contact the People Service Center at (833)744-4435 or psc@lnw.com, who will verify only your dates of service and job titles.</w:t>
      </w:r>
    </w:p>
    <w:p>
      <w:pPr>
        <w:spacing w:after="0" w:line="220" w:lineRule="exact"/>
        <w:rPr>
          <w:sz w:val="20"/>
          <w:szCs w:val="20"/>
          <w:color w:val="auto"/>
        </w:rPr>
      </w:pPr>
    </w:p>
    <w:p>
      <w:pPr>
        <w:jc w:val="both"/>
        <w:ind w:firstLine="656"/>
        <w:spacing w:after="0" w:line="265" w:lineRule="auto"/>
        <w:tabs>
          <w:tab w:leader="none" w:pos="846"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You agree that no later than five business days following your execution of this Agreement, you will return</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property, including all copies or duplicates thereof, belonging to the Company, including but not limited to keys, key cards, security cards, identification badges, records, papers, files, blueprints, documents, equipment, phone, computer equipment and software, computer disks, thumb drives, supplies, customer or client lists and customer or client information, and all copies thereof and any other Company property under your control. You will also sign a Declaration that you have complied with this obligation. The Company hereby agrees that the legal department shall preserve and keep in its possession the flash drive that you will separately deliver back to the Company, by delivering the flash drive to John Cuddihy in the legal department at the following address: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John L. Cuddihy</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Senior Vice President and Deputy General Counsel</w:t>
      </w:r>
    </w:p>
    <w:p>
      <w:pPr>
        <w:ind w:left="660"/>
        <w:spacing w:after="0" w:line="225" w:lineRule="auto"/>
        <w:rPr>
          <w:sz w:val="20"/>
          <w:szCs w:val="20"/>
          <w:color w:val="auto"/>
        </w:rPr>
      </w:pPr>
      <w:r>
        <w:rPr>
          <w:rFonts w:ascii="Arial" w:cs="Arial" w:eastAsia="Arial" w:hAnsi="Arial"/>
          <w:sz w:val="20"/>
          <w:szCs w:val="20"/>
          <w:color w:val="auto"/>
        </w:rPr>
        <w:t>Light &amp; Wonder, Inc.</w:t>
      </w:r>
    </w:p>
    <w:p>
      <w:pPr>
        <w:ind w:left="660"/>
        <w:spacing w:after="0" w:line="225" w:lineRule="auto"/>
        <w:rPr>
          <w:sz w:val="20"/>
          <w:szCs w:val="20"/>
          <w:color w:val="auto"/>
        </w:rPr>
      </w:pPr>
      <w:r>
        <w:rPr>
          <w:rFonts w:ascii="Arial" w:cs="Arial" w:eastAsia="Arial" w:hAnsi="Arial"/>
          <w:sz w:val="20"/>
          <w:szCs w:val="20"/>
          <w:color w:val="auto"/>
        </w:rPr>
        <w:t>6601 Bermuda Road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Las Vegas, Nevada 89119</w:t>
      </w:r>
    </w:p>
    <w:p>
      <w:pPr>
        <w:spacing w:after="0" w:line="221" w:lineRule="exact"/>
        <w:rPr>
          <w:sz w:val="20"/>
          <w:szCs w:val="20"/>
          <w:color w:val="auto"/>
        </w:rPr>
      </w:pPr>
    </w:p>
    <w:p>
      <w:pPr>
        <w:jc w:val="both"/>
        <w:ind w:firstLine="656"/>
        <w:spacing w:after="0" w:line="272" w:lineRule="auto"/>
        <w:tabs>
          <w:tab w:leader="none" w:pos="846"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Non-Admission of Wrongdoing</w:t>
      </w:r>
      <w:r>
        <w:rPr>
          <w:rFonts w:ascii="Arial" w:cs="Arial" w:eastAsia="Arial" w:hAnsi="Arial"/>
          <w:sz w:val="18"/>
          <w:szCs w:val="18"/>
          <w:color w:val="auto"/>
        </w:rPr>
        <w:t>. You and the Company agree that neither this Agreement nor the furnishing of the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this Agreement shall be deemed or construed at any time for any purpose as an admission by any of the Released Parties or by you of any liability, wrongdoing, or unlawful conduct of any kind, and the Released Parties and you do hereby specifically deny, any violation of any local, state, federal, or other law, whether regulatory, common or statutory. Additionally, this Agreement, its existence or its terms will not be admissible in any proceeding other than a proceeding to enforce the terms of this Agreement.</w:t>
      </w:r>
    </w:p>
    <w:p>
      <w:pPr>
        <w:spacing w:after="0" w:line="177" w:lineRule="exact"/>
        <w:rPr>
          <w:rFonts w:ascii="Arial" w:cs="Arial" w:eastAsia="Arial" w:hAnsi="Arial"/>
          <w:sz w:val="18"/>
          <w:szCs w:val="18"/>
          <w:color w:val="auto"/>
        </w:rPr>
      </w:pPr>
    </w:p>
    <w:p>
      <w:pPr>
        <w:ind w:firstLine="656"/>
        <w:spacing w:after="0" w:line="252" w:lineRule="auto"/>
        <w:tabs>
          <w:tab w:leader="none" w:pos="972"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w:t>
      </w:r>
      <w:r>
        <w:rPr>
          <w:rFonts w:ascii="Arial" w:cs="Arial" w:eastAsia="Arial" w:hAnsi="Arial"/>
          <w:sz w:val="20"/>
          <w:szCs w:val="20"/>
          <w:color w:val="auto"/>
        </w:rPr>
        <w:t>. You understand and agree that this Agreement may not be modified, altered or changed except upon express</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consent of both parties wherein specific reference is made to this Agreement.</w:t>
      </w:r>
    </w:p>
    <w:p>
      <w:pPr>
        <w:sectPr>
          <w:pgSz w:w="11900" w:h="16838" w:orient="portrait"/>
          <w:cols w:equalWidth="0" w:num="1">
            <w:col w:w="11240"/>
          </w:cols>
          <w:pgMar w:left="320" w:top="892" w:right="339" w:bottom="1440" w:gutter="0" w:footer="0" w:header="0"/>
        </w:sectPr>
      </w:pPr>
    </w:p>
    <w:bookmarkStart w:id="35" w:name="page36"/>
    <w:bookmarkEnd w:id="35"/>
    <w:p>
      <w:pPr>
        <w:jc w:val="both"/>
        <w:ind w:firstLine="656"/>
        <w:spacing w:after="0" w:line="263" w:lineRule="auto"/>
        <w:tabs>
          <w:tab w:leader="none" w:pos="937"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Waiver</w:t>
      </w:r>
      <w:r>
        <w:rPr>
          <w:rFonts w:ascii="Arial" w:cs="Arial" w:eastAsia="Arial" w:hAnsi="Arial"/>
          <w:sz w:val="18"/>
          <w:szCs w:val="18"/>
          <w:color w:val="auto"/>
        </w:rPr>
        <w:t>. You understand and agree that this Agreement sets forth the entire agreement between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concerning the subject matter herein, and that it fully supersedes any prior obligation of the Company to you, as well as any agreements between you and the Company, other than any agreements relating to equity, inventions, intellectual property, confidentiality, non-competition and/or non-solicitation, including those set forth in your Employment Agreement, and all other provisions of the Employment Agreement designed to survive the termination of your employment with Company </w:t>
      </w:r>
      <w:r>
        <w:rPr>
          <w:rFonts w:ascii="Arial" w:cs="Arial" w:eastAsia="Arial" w:hAnsi="Arial"/>
          <w:sz w:val="18"/>
          <w:szCs w:val="18"/>
          <w:b w:val="1"/>
          <w:bCs w:val="1"/>
          <w:color w:val="auto"/>
        </w:rPr>
        <w:t>including, but not limited to, Sections</w:t>
      </w:r>
      <w:r>
        <w:rPr>
          <w:rFonts w:ascii="Arial" w:cs="Arial" w:eastAsia="Arial" w:hAnsi="Arial"/>
          <w:sz w:val="18"/>
          <w:szCs w:val="18"/>
          <w:color w:val="auto"/>
        </w:rPr>
        <w:t xml:space="preserve"> </w:t>
      </w:r>
      <w:r>
        <w:rPr>
          <w:rFonts w:ascii="Arial" w:cs="Arial" w:eastAsia="Arial" w:hAnsi="Arial"/>
          <w:sz w:val="18"/>
          <w:szCs w:val="18"/>
          <w:b w:val="1"/>
          <w:bCs w:val="1"/>
          <w:color w:val="auto"/>
        </w:rPr>
        <w:t>4(h), 4(i), Sections 5.1, 5.2, 5.3, 5.4, 5.8, and Section 7 and your other Indemnification Rights</w:t>
      </w:r>
      <w:r>
        <w:rPr>
          <w:rFonts w:ascii="Arial" w:cs="Arial" w:eastAsia="Arial" w:hAnsi="Arial"/>
          <w:sz w:val="18"/>
          <w:szCs w:val="18"/>
          <w:color w:val="auto"/>
        </w:rPr>
        <w:t>. You acknowledge and affirm that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not relied on any representations, promises, or agreements of any kind made to you in connection with your decision to accept this Agreement, except for those that are set forth in this Agreement. One or more waivers of a breach of any covenant, term or provision of this Agreement by any party shall not be construed as a waiver of a subsequent breach of the same covenant, term or provision, nor shall it be considered a waiver of any other then existing or subsequent breach of a different covenant, term or provision.</w:t>
      </w:r>
    </w:p>
    <w:p>
      <w:pPr>
        <w:spacing w:after="0" w:line="188" w:lineRule="exact"/>
        <w:rPr>
          <w:rFonts w:ascii="Arial" w:cs="Arial" w:eastAsia="Arial" w:hAnsi="Arial"/>
          <w:sz w:val="18"/>
          <w:szCs w:val="18"/>
          <w:color w:val="auto"/>
        </w:rPr>
      </w:pPr>
    </w:p>
    <w:p>
      <w:pPr>
        <w:jc w:val="both"/>
        <w:ind w:firstLine="656"/>
        <w:spacing w:after="0" w:line="246" w:lineRule="auto"/>
        <w:tabs>
          <w:tab w:leader="none" w:pos="958" w:val="left"/>
        </w:tabs>
        <w:numPr>
          <w:ilvl w:val="0"/>
          <w:numId w:val="35"/>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 to Consider, Rescind and Revoke Acceptance</w:t>
      </w:r>
      <w:r>
        <w:rPr>
          <w:rFonts w:ascii="Arial" w:cs="Arial" w:eastAsia="Arial" w:hAnsi="Arial"/>
          <w:sz w:val="20"/>
          <w:szCs w:val="20"/>
          <w:color w:val="auto"/>
        </w:rPr>
        <w:t>. This Agreement is intended to comply with the Older Workers Benefit</w:t>
      </w:r>
      <w:r>
        <w:rPr>
          <w:rFonts w:ascii="Arial" w:cs="Arial" w:eastAsia="Arial" w:hAnsi="Arial"/>
          <w:sz w:val="20"/>
          <w:szCs w:val="20"/>
          <w:b w:val="1"/>
          <w:bCs w:val="1"/>
          <w:color w:val="auto"/>
        </w:rPr>
        <w:t xml:space="preserve"> </w:t>
      </w:r>
      <w:r>
        <w:rPr>
          <w:rFonts w:ascii="Arial" w:cs="Arial" w:eastAsia="Arial" w:hAnsi="Arial"/>
          <w:sz w:val="20"/>
          <w:szCs w:val="20"/>
          <w:color w:val="auto"/>
        </w:rPr>
        <w:t>Protection Act of 1990 with regard to your waiver of rights under the Age Discrimination in Employment Act. In signing this Agreement, you understand and agree that:</w:t>
      </w:r>
    </w:p>
    <w:p>
      <w:pPr>
        <w:spacing w:after="0" w:line="203" w:lineRule="exact"/>
        <w:rPr>
          <w:sz w:val="20"/>
          <w:szCs w:val="20"/>
          <w:color w:val="auto"/>
        </w:rPr>
      </w:pPr>
    </w:p>
    <w:p>
      <w:pPr>
        <w:jc w:val="both"/>
        <w:ind w:firstLine="656"/>
        <w:spacing w:after="0" w:line="241" w:lineRule="auto"/>
        <w:tabs>
          <w:tab w:leader="none" w:pos="917" w:val="left"/>
        </w:tabs>
        <w:numPr>
          <w:ilvl w:val="0"/>
          <w:numId w:val="36"/>
        </w:numPr>
        <w:rPr>
          <w:rFonts w:ascii="Arial" w:cs="Arial" w:eastAsia="Arial" w:hAnsi="Arial"/>
          <w:sz w:val="20"/>
          <w:szCs w:val="20"/>
          <w:color w:val="auto"/>
        </w:rPr>
      </w:pPr>
      <w:r>
        <w:rPr>
          <w:rFonts w:ascii="Arial" w:cs="Arial" w:eastAsia="Arial" w:hAnsi="Arial"/>
          <w:sz w:val="20"/>
          <w:szCs w:val="20"/>
          <w:color w:val="auto"/>
        </w:rPr>
        <w:t>You are specifically advised to consult with an attorney of your own choosing before you sign this Agreement, as it waives and releases rights you have or may have under federal, state and local law, including but not limited to the Age Discrimination in Employment Act. You acknowledge that you will bear all expenses incurred by you in the negotiation and preparation of this Agreement, and the Company will bear all fees incurred by it.</w:t>
      </w:r>
    </w:p>
    <w:p>
      <w:pPr>
        <w:spacing w:after="0" w:line="210" w:lineRule="exact"/>
        <w:rPr>
          <w:rFonts w:ascii="Arial" w:cs="Arial" w:eastAsia="Arial" w:hAnsi="Arial"/>
          <w:sz w:val="20"/>
          <w:szCs w:val="20"/>
          <w:color w:val="auto"/>
        </w:rPr>
      </w:pPr>
    </w:p>
    <w:p>
      <w:pPr>
        <w:jc w:val="both"/>
        <w:ind w:firstLine="656"/>
        <w:spacing w:after="0" w:line="226" w:lineRule="auto"/>
        <w:tabs>
          <w:tab w:leader="none" w:pos="928" w:val="left"/>
        </w:tabs>
        <w:numPr>
          <w:ilvl w:val="0"/>
          <w:numId w:val="36"/>
        </w:numPr>
        <w:rPr>
          <w:rFonts w:ascii="Arial" w:cs="Arial" w:eastAsia="Arial" w:hAnsi="Arial"/>
          <w:sz w:val="20"/>
          <w:szCs w:val="20"/>
          <w:color w:val="auto"/>
        </w:rPr>
      </w:pPr>
      <w:r>
        <w:rPr>
          <w:rFonts w:ascii="Arial" w:cs="Arial" w:eastAsia="Arial" w:hAnsi="Arial"/>
          <w:sz w:val="20"/>
          <w:szCs w:val="20"/>
          <w:color w:val="auto"/>
        </w:rPr>
        <w:t>You will have up to twenty-one (21) calendar days from February 21, 2023 to decide whether to accept and sign this Agreement. In the event you do sign this Agreement, you may revoke or rescind your acceptance within seven (7) calendar days of signing it, and it will not become effective or enforceable until the eighth (8</w:t>
      </w:r>
      <w:r>
        <w:rPr>
          <w:rFonts w:ascii="Arial" w:cs="Arial" w:eastAsia="Arial" w:hAnsi="Arial"/>
          <w:sz w:val="25"/>
          <w:szCs w:val="25"/>
          <w:color w:val="auto"/>
          <w:vertAlign w:val="superscript"/>
        </w:rPr>
        <w:t>th</w:t>
      </w:r>
      <w:r>
        <w:rPr>
          <w:rFonts w:ascii="Arial" w:cs="Arial" w:eastAsia="Arial" w:hAnsi="Arial"/>
          <w:sz w:val="20"/>
          <w:szCs w:val="20"/>
          <w:color w:val="auto"/>
        </w:rPr>
        <w:t>) day after you sign it (the “</w:t>
      </w:r>
      <w:r>
        <w:rPr>
          <w:rFonts w:ascii="Arial" w:cs="Arial" w:eastAsia="Arial" w:hAnsi="Arial"/>
          <w:sz w:val="20"/>
          <w:szCs w:val="20"/>
          <w:u w:val="single" w:color="auto"/>
          <w:color w:val="auto"/>
        </w:rPr>
        <w:t>Effective Date</w:t>
      </w:r>
      <w:r>
        <w:rPr>
          <w:rFonts w:ascii="Arial" w:cs="Arial" w:eastAsia="Arial" w:hAnsi="Arial"/>
          <w:sz w:val="20"/>
          <w:szCs w:val="20"/>
          <w:color w:val="auto"/>
        </w:rPr>
        <w:t>”). In order to effectively revoke or rescind your acceptance, the revocation or rescission must be in writing and postmarked within the seven (7) calendar day period, and properly addressed to:</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SciPlay Parent Company, LLC</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6601 Bermuda Road</w:t>
      </w:r>
    </w:p>
    <w:p>
      <w:pPr>
        <w:ind w:left="1300"/>
        <w:spacing w:after="0"/>
        <w:rPr>
          <w:sz w:val="20"/>
          <w:szCs w:val="20"/>
          <w:color w:val="auto"/>
        </w:rPr>
      </w:pPr>
      <w:r>
        <w:rPr>
          <w:rFonts w:ascii="Arial" w:cs="Arial" w:eastAsia="Arial" w:hAnsi="Arial"/>
          <w:sz w:val="20"/>
          <w:szCs w:val="20"/>
          <w:color w:val="auto"/>
        </w:rPr>
        <w:t>Las Vegas, NV 89119</w:t>
      </w:r>
    </w:p>
    <w:p>
      <w:pPr>
        <w:ind w:left="1300"/>
        <w:spacing w:after="0"/>
        <w:rPr>
          <w:sz w:val="20"/>
          <w:szCs w:val="20"/>
          <w:color w:val="auto"/>
        </w:rPr>
      </w:pPr>
      <w:r>
        <w:rPr>
          <w:rFonts w:ascii="Arial" w:cs="Arial" w:eastAsia="Arial" w:hAnsi="Arial"/>
          <w:sz w:val="20"/>
          <w:szCs w:val="20"/>
          <w:color w:val="auto"/>
        </w:rPr>
        <w:t>Attention: Legal Department</w:t>
      </w:r>
    </w:p>
    <w:p>
      <w:pPr>
        <w:spacing w:after="0" w:line="200" w:lineRule="exact"/>
        <w:rPr>
          <w:sz w:val="20"/>
          <w:szCs w:val="20"/>
          <w:color w:val="auto"/>
        </w:rPr>
      </w:pPr>
    </w:p>
    <w:p>
      <w:pPr>
        <w:spacing w:after="0" w:line="25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You acknowledge that if you do not accept this Agreement in the manner described above, it will be withdrawn and of no effect. You acknowledge and agree that, if you revoke your acceptance of this Agreement, you shall receive none of the benefits provided hereunder and this Agreement shall be null and void, having have no further force or effect, and that said Agreement will not be admissible as evidence in any judicial, administrative or arbitral proceeding or trial. You further acknowledge that if the Agreement is not revoked in the time period set forth above, you shall have forever waived your right to revoke this Agreement, and it shall thereafter have full force and effect as of the Effective Date.</w:t>
      </w:r>
    </w:p>
    <w:p>
      <w:pPr>
        <w:spacing w:after="0" w:line="223" w:lineRule="exact"/>
        <w:rPr>
          <w:sz w:val="20"/>
          <w:szCs w:val="20"/>
          <w:color w:val="auto"/>
        </w:rPr>
      </w:pPr>
    </w:p>
    <w:p>
      <w:pPr>
        <w:ind w:left="920" w:hanging="264"/>
        <w:spacing w:after="0"/>
        <w:tabs>
          <w:tab w:leader="none" w:pos="9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and all questions regarding the terms of this Agreement have been asked and answered to your complete satisfaction.</w:t>
      </w:r>
    </w:p>
    <w:p>
      <w:pPr>
        <w:spacing w:after="0" w:line="240" w:lineRule="exact"/>
        <w:rPr>
          <w:rFonts w:ascii="Arial" w:cs="Arial" w:eastAsia="Arial" w:hAnsi="Arial"/>
          <w:sz w:val="19"/>
          <w:szCs w:val="19"/>
          <w:color w:val="auto"/>
        </w:rPr>
      </w:pPr>
    </w:p>
    <w:p>
      <w:pPr>
        <w:ind w:right="20" w:firstLine="656"/>
        <w:spacing w:after="0" w:line="246" w:lineRule="auto"/>
        <w:tabs>
          <w:tab w:leader="none" w:pos="942" w:val="left"/>
        </w:tabs>
        <w:numPr>
          <w:ilvl w:val="0"/>
          <w:numId w:val="37"/>
        </w:numPr>
        <w:rPr>
          <w:rFonts w:ascii="Arial" w:cs="Arial" w:eastAsia="Arial" w:hAnsi="Arial"/>
          <w:sz w:val="20"/>
          <w:szCs w:val="20"/>
          <w:color w:val="auto"/>
        </w:rPr>
      </w:pPr>
      <w:r>
        <w:rPr>
          <w:rFonts w:ascii="Arial" w:cs="Arial" w:eastAsia="Arial" w:hAnsi="Arial"/>
          <w:sz w:val="20"/>
          <w:szCs w:val="20"/>
          <w:color w:val="auto"/>
        </w:rPr>
        <w:t>You acknowledge that the consideration provided for hereunder is in addition to anything of value to which you already are entitled and the consideration provided for herein is good and valuable.</w:t>
      </w:r>
    </w:p>
    <w:p>
      <w:pPr>
        <w:spacing w:after="0" w:line="217" w:lineRule="exact"/>
        <w:rPr>
          <w:rFonts w:ascii="Arial" w:cs="Arial" w:eastAsia="Arial" w:hAnsi="Arial"/>
          <w:sz w:val="20"/>
          <w:szCs w:val="20"/>
          <w:color w:val="auto"/>
        </w:rPr>
      </w:pPr>
    </w:p>
    <w:p>
      <w:pPr>
        <w:ind w:firstLine="656"/>
        <w:spacing w:after="0" w:line="246" w:lineRule="auto"/>
        <w:tabs>
          <w:tab w:leader="none" w:pos="917" w:val="left"/>
        </w:tabs>
        <w:numPr>
          <w:ilvl w:val="0"/>
          <w:numId w:val="37"/>
        </w:numPr>
        <w:rPr>
          <w:rFonts w:ascii="Arial" w:cs="Arial" w:eastAsia="Arial" w:hAnsi="Arial"/>
          <w:sz w:val="20"/>
          <w:szCs w:val="20"/>
          <w:color w:val="auto"/>
        </w:rPr>
      </w:pPr>
      <w:r>
        <w:rPr>
          <w:rFonts w:ascii="Arial" w:cs="Arial" w:eastAsia="Arial" w:hAnsi="Arial"/>
          <w:sz w:val="20"/>
          <w:szCs w:val="20"/>
          <w:color w:val="auto"/>
        </w:rPr>
        <w:t>You are entering into this Agreement voluntarily, of your own free will, and without any coercion or undue influence of any kind or type whatsoever.</w:t>
      </w:r>
    </w:p>
    <w:p>
      <w:pPr>
        <w:spacing w:after="0" w:line="217" w:lineRule="exact"/>
        <w:rPr>
          <w:rFonts w:ascii="Arial" w:cs="Arial" w:eastAsia="Arial" w:hAnsi="Arial"/>
          <w:sz w:val="20"/>
          <w:szCs w:val="20"/>
          <w:color w:val="auto"/>
        </w:rPr>
      </w:pPr>
    </w:p>
    <w:p>
      <w:pPr>
        <w:ind w:left="920" w:hanging="264"/>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modifications of or revisions to this Agreement do not re-start the consideration period, described in paragraph(b) of this</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Section 12.</w:t>
      </w:r>
    </w:p>
    <w:p>
      <w:pPr>
        <w:sectPr>
          <w:pgSz w:w="11900" w:h="16838" w:orient="portrait"/>
          <w:cols w:equalWidth="0" w:num="1">
            <w:col w:w="11240"/>
          </w:cols>
          <w:pgMar w:left="320" w:top="1129" w:right="339" w:bottom="1440" w:gutter="0" w:footer="0" w:header="0"/>
        </w:sectPr>
      </w:pPr>
    </w:p>
    <w:bookmarkStart w:id="36" w:name="page37"/>
    <w:bookmarkEnd w:id="36"/>
    <w:p>
      <w:pPr>
        <w:ind w:firstLine="656"/>
        <w:spacing w:after="0" w:line="246" w:lineRule="auto"/>
        <w:tabs>
          <w:tab w:leader="none" w:pos="928" w:val="left"/>
        </w:tabs>
        <w:numPr>
          <w:ilvl w:val="0"/>
          <w:numId w:val="38"/>
        </w:numPr>
        <w:rPr>
          <w:rFonts w:ascii="Arial" w:cs="Arial" w:eastAsia="Arial" w:hAnsi="Arial"/>
          <w:sz w:val="20"/>
          <w:szCs w:val="20"/>
          <w:color w:val="auto"/>
        </w:rPr>
      </w:pPr>
      <w:r>
        <w:rPr>
          <w:rFonts w:ascii="Arial" w:cs="Arial" w:eastAsia="Arial" w:hAnsi="Arial"/>
          <w:sz w:val="20"/>
          <w:szCs w:val="20"/>
          <w:color w:val="auto"/>
        </w:rPr>
        <w:t>You understand that the releases contained in this Agreement do not extend to any rights or claims that you have under the Age Discrimination in Employment Act that first arise after execution of this Agreement.</w:t>
      </w:r>
    </w:p>
    <w:p>
      <w:pPr>
        <w:spacing w:after="0" w:line="211" w:lineRule="exact"/>
        <w:rPr>
          <w:sz w:val="20"/>
          <w:szCs w:val="20"/>
          <w:color w:val="auto"/>
        </w:rPr>
      </w:pPr>
    </w:p>
    <w:p>
      <w:pPr>
        <w:jc w:val="both"/>
        <w:ind w:firstLine="656"/>
        <w:spacing w:after="0" w:line="260" w:lineRule="auto"/>
        <w:tabs>
          <w:tab w:leader="none" w:pos="958"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409A</w:t>
      </w:r>
      <w:r>
        <w:rPr>
          <w:rFonts w:ascii="Arial" w:cs="Arial" w:eastAsia="Arial" w:hAnsi="Arial"/>
          <w:sz w:val="18"/>
          <w:szCs w:val="18"/>
          <w:color w:val="auto"/>
        </w:rPr>
        <w:t>. This Agreement is intended to comply with or be exempt from Section 409A of the Internal Revenue Code of 1986,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w:t>
      </w:r>
      <w:r>
        <w:rPr>
          <w:rFonts w:ascii="Arial" w:cs="Arial" w:eastAsia="Arial" w:hAnsi="Arial"/>
          <w:sz w:val="18"/>
          <w:szCs w:val="18"/>
          <w:u w:val="single" w:color="auto"/>
          <w:color w:val="auto"/>
        </w:rPr>
        <w:t>Section 409A</w:t>
      </w:r>
      <w:r>
        <w:rPr>
          <w:rFonts w:ascii="Arial" w:cs="Arial" w:eastAsia="Arial" w:hAnsi="Arial"/>
          <w:sz w:val="18"/>
          <w:szCs w:val="18"/>
          <w:color w:val="auto"/>
        </w:rPr>
        <w:t>”) or an exception thereunder and shall be interpreted, construed and administered in accordance therewith. Notwithstanding anything in this Agreement to the contrary, in the event that you are deemed to be a “specified employee” within the meaning of Section 409A(a)(2)(B)(i), no payments hereunder that are “deferred compensation” subject to Section 409A shall be made to you prior to the date that is six (6) months after your Separation Date or, if earlier, your date of death. Following any applicable six (6) month delay, all such delayed payments will be paid in a single lump sum on the first payroll date following the date that is six (6) months after your Separation Date. To the extent that any reimbursements are taxable to you, any such reimbursement payment due to you shall be paid to you in all events on or before the last day of your taxable year following the taxable year in which the related expense was incurred. The reimbursements are not subject to liquidation or exchange for another benefit and the amount of such benefits and reimbursements that you receive in one taxable year shall not affect the amount of such benefits or reimbursements that you receive in any other taxable year. For purposes of Section 409A, each installment payment, if applicable, provided under this Agreement shall be treated as a separate payment. Notwithstanding the foregoing, the Company makes no representations that the payments or benefits provided under this Agreement comply with Section 409A and in no event shall the Company be liable for all or any portion of any taxes, penalties, interest or other expenses that may be incurred by the you as a result of this Agreement failing to comply with Section 409A.</w:t>
      </w:r>
    </w:p>
    <w:p>
      <w:pPr>
        <w:spacing w:after="0" w:line="208" w:lineRule="exact"/>
        <w:rPr>
          <w:rFonts w:ascii="Arial" w:cs="Arial" w:eastAsia="Arial" w:hAnsi="Arial"/>
          <w:sz w:val="18"/>
          <w:szCs w:val="18"/>
          <w:color w:val="auto"/>
        </w:rPr>
      </w:pPr>
    </w:p>
    <w:p>
      <w:pPr>
        <w:ind w:firstLine="656"/>
        <w:spacing w:after="0" w:line="252" w:lineRule="auto"/>
        <w:tabs>
          <w:tab w:leader="none" w:pos="972"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 Arbitration</w:t>
      </w:r>
      <w:r>
        <w:rPr>
          <w:rFonts w:ascii="Arial" w:cs="Arial" w:eastAsia="Arial" w:hAnsi="Arial"/>
          <w:sz w:val="20"/>
          <w:szCs w:val="20"/>
          <w:color w:val="auto"/>
        </w:rPr>
        <w:t>. The parties hereby agree that the “Governing Law; Arbitration” section of the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set forth at Section 12 of the Employment Agreement is incorporated into this Agreement.</w:t>
      </w:r>
    </w:p>
    <w:p>
      <w:pPr>
        <w:spacing w:after="0" w:line="205" w:lineRule="exact"/>
        <w:rPr>
          <w:rFonts w:ascii="Arial" w:cs="Arial" w:eastAsia="Arial" w:hAnsi="Arial"/>
          <w:sz w:val="20"/>
          <w:szCs w:val="20"/>
          <w:color w:val="auto"/>
        </w:rPr>
      </w:pPr>
    </w:p>
    <w:p>
      <w:pPr>
        <w:jc w:val="both"/>
        <w:ind w:firstLine="656"/>
        <w:spacing w:after="0" w:line="239" w:lineRule="auto"/>
        <w:tabs>
          <w:tab w:leader="none" w:pos="958"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Resignation of Director and Officer Positions</w:t>
      </w:r>
      <w:r>
        <w:rPr>
          <w:rFonts w:ascii="Arial" w:cs="Arial" w:eastAsia="Arial" w:hAnsi="Arial"/>
          <w:sz w:val="20"/>
          <w:szCs w:val="20"/>
          <w:color w:val="auto"/>
        </w:rPr>
        <w:t>. As of the Separation Date, you will resign your position as an officer and/or</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 of the Company and all of the Company’s subsidiaries, if any. You will execute and deliver to the Company any requested resignation letters documenting your resignation from such positions.</w:t>
      </w:r>
    </w:p>
    <w:p>
      <w:pPr>
        <w:spacing w:after="0" w:line="217" w:lineRule="exact"/>
        <w:rPr>
          <w:rFonts w:ascii="Arial" w:cs="Arial" w:eastAsia="Arial" w:hAnsi="Arial"/>
          <w:sz w:val="20"/>
          <w:szCs w:val="20"/>
          <w:color w:val="auto"/>
        </w:rPr>
      </w:pPr>
    </w:p>
    <w:p>
      <w:pPr>
        <w:jc w:val="both"/>
        <w:ind w:firstLine="656"/>
        <w:spacing w:after="0" w:line="251" w:lineRule="auto"/>
        <w:tabs>
          <w:tab w:leader="none" w:pos="958" w:val="left"/>
        </w:tabs>
        <w:numPr>
          <w:ilvl w:val="0"/>
          <w:numId w:val="39"/>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signed in counterparts, both of which shall be deemed an original, but both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taken together shall constitute the same instrument. A signature made on an electronically mailed copy of the Agreement or a signature transmitted by electronic mail shall have the same effect as the original signature. The section headings used in this Agreement are intended solely for convenience of reference and shall not in any manner amplify, limit, modify or otherwise be used in the interpretation of any of the provisions hereof. This Agreement shall be binding upon and inure to the benefit of the parties and their respective personal representatives, agents, attorneys, executors, administrators, heirs, successors and assigns.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follow on the next page]</w:t>
      </w:r>
    </w:p>
    <w:p>
      <w:pPr>
        <w:sectPr>
          <w:pgSz w:w="11900" w:h="16838" w:orient="portrait"/>
          <w:cols w:equalWidth="0" w:num="1">
            <w:col w:w="11240"/>
          </w:cols>
          <w:pgMar w:left="320" w:top="892" w:right="339" w:bottom="1440" w:gutter="0" w:footer="0" w:header="0"/>
        </w:sectPr>
      </w:pPr>
    </w:p>
    <w:bookmarkStart w:id="37" w:name="page38"/>
    <w:bookmarkEnd w:id="37"/>
    <w:p>
      <w:pPr>
        <w:jc w:val="both"/>
        <w:ind w:firstLine="648"/>
        <w:spacing w:after="0" w:line="246" w:lineRule="auto"/>
        <w:rPr>
          <w:sz w:val="20"/>
          <w:szCs w:val="20"/>
          <w:color w:val="auto"/>
        </w:rPr>
      </w:pPr>
      <w:r>
        <w:rPr>
          <w:rFonts w:ascii="Arial" w:cs="Arial" w:eastAsia="Arial" w:hAnsi="Arial"/>
          <w:sz w:val="20"/>
          <w:szCs w:val="20"/>
          <w:color w:val="auto"/>
        </w:rPr>
        <w:t>IN WITNESS WHEREOF, the parties hereto knowingly and voluntarily entered into this Agreement and General Release as of the date set forth below:</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SCIPLAY PARENT COMPANY, LLC</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Joshua J. Wilson</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Name:</w:t>
            </w: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Joshua J. Wilson</w:t>
            </w:r>
          </w:p>
        </w:tc>
      </w:tr>
      <w:tr>
        <w:trPr>
          <w:trHeight w:val="253"/>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CEO</w:t>
            </w:r>
          </w:p>
        </w:tc>
      </w:tr>
    </w:tbl>
    <w:p>
      <w:pPr>
        <w:spacing w:after="0" w:line="200" w:lineRule="exact"/>
        <w:rPr>
          <w:sz w:val="20"/>
          <w:szCs w:val="20"/>
          <w:color w:val="auto"/>
        </w:rPr>
      </w:pPr>
    </w:p>
    <w:p>
      <w:pPr>
        <w:spacing w:after="0" w:line="24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0"/>
          <w:szCs w:val="20"/>
          <w:color w:val="auto"/>
        </w:rPr>
        <w:t>I have decided to accept this Agreement and General Release, to fulfill the promises I have made, and to receive the Severance Benefits described in Section 2 above. I hereby freely and voluntarily assent to all the terms and conditions in this Agreement and General Release. I understand that this Agreement and General Release will become a binding agreement between the Company and me as of the 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after I sign it, and I am signing this Agreement and General Release as my own free act with the full intent of releasing the Released Parties from all Claims, as described in Section 4 above, including but not limited to those under the Age Discrimination in Employment Act (ADEA).</w:t>
      </w: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20"/>
          <w:szCs w:val="20"/>
          <w:color w:val="auto"/>
        </w:rPr>
        <w:t>/s/ James Bombassei</w:t>
      </w:r>
      <w:r>
        <w:rPr>
          <w:sz w:val="20"/>
          <w:szCs w:val="20"/>
          <w:color w:val="auto"/>
        </w:rPr>
        <w:tab/>
      </w:r>
      <w:r>
        <w:rPr>
          <w:rFonts w:ascii="Arial" w:cs="Arial" w:eastAsia="Arial" w:hAnsi="Arial"/>
          <w:sz w:val="18"/>
          <w:szCs w:val="18"/>
          <w:color w:val="auto"/>
        </w:rPr>
        <w:t>Date: 2/24/23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520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JAMES BOMBASSEI</w:t>
      </w:r>
    </w:p>
    <w:p>
      <w:pPr>
        <w:sectPr>
          <w:pgSz w:w="11900" w:h="16838" w:orient="portrait"/>
          <w:cols w:equalWidth="0" w:num="1">
            <w:col w:w="11240"/>
          </w:cols>
          <w:pgMar w:left="320" w:top="892" w:right="339" w:bottom="1440" w:gutter="0" w:footer="0" w:header="0"/>
        </w:sectPr>
      </w:pPr>
    </w:p>
    <w:bookmarkStart w:id="38" w:name="page39"/>
    <w:bookmarkEnd w:id="38"/>
    <w:p>
      <w:pPr>
        <w:ind w:left="10320"/>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Certification by Chief Executive Officer (Principal Executive Officer) Pursuant to Section 302 of the Sarbanes-Oxley Act of 2002</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Joshua J. Wilson, certify that:</w:t>
      </w:r>
    </w:p>
    <w:p>
      <w:pPr>
        <w:spacing w:after="0" w:line="266" w:lineRule="exact"/>
        <w:rPr>
          <w:sz w:val="20"/>
          <w:szCs w:val="20"/>
          <w:color w:val="auto"/>
        </w:rPr>
      </w:pPr>
    </w:p>
    <w:p>
      <w:pPr>
        <w:ind w:left="1080" w:hanging="26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SciPlay Corporation;</w:t>
      </w:r>
    </w:p>
    <w:p>
      <w:pPr>
        <w:spacing w:after="0" w:line="252" w:lineRule="exact"/>
        <w:rPr>
          <w:rFonts w:ascii="Arial" w:cs="Arial" w:eastAsia="Arial" w:hAnsi="Arial"/>
          <w:sz w:val="18"/>
          <w:szCs w:val="18"/>
          <w:color w:val="auto"/>
        </w:rPr>
      </w:pPr>
    </w:p>
    <w:p>
      <w:pPr>
        <w:ind w:right="80" w:firstLine="818"/>
        <w:spacing w:after="0" w:line="271"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8"/>
          <w:szCs w:val="18"/>
          <w:color w:val="auto"/>
        </w:rPr>
      </w:pPr>
    </w:p>
    <w:p>
      <w:pPr>
        <w:ind w:right="540" w:firstLine="818"/>
        <w:spacing w:after="0" w:line="359"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6"/>
          <w:szCs w:val="16"/>
          <w:color w:val="auto"/>
        </w:rPr>
      </w:pPr>
    </w:p>
    <w:p>
      <w:pPr>
        <w:ind w:right="60" w:firstLine="818"/>
        <w:spacing w:after="0" w:line="27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18"/>
          <w:szCs w:val="18"/>
          <w:color w:val="auto"/>
        </w:rPr>
      </w:pPr>
    </w:p>
    <w:p>
      <w:pPr>
        <w:ind w:left="660" w:right="280" w:firstLine="806"/>
        <w:spacing w:after="0" w:line="303" w:lineRule="auto"/>
        <w:tabs>
          <w:tab w:leader="none" w:pos="1745"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7"/>
          <w:szCs w:val="17"/>
          <w:color w:val="auto"/>
        </w:rPr>
      </w:pPr>
    </w:p>
    <w:p>
      <w:pPr>
        <w:ind w:left="660" w:right="60" w:firstLine="806"/>
        <w:spacing w:after="0" w:line="279" w:lineRule="auto"/>
        <w:tabs>
          <w:tab w:leader="none" w:pos="166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8"/>
          <w:szCs w:val="18"/>
          <w:color w:val="auto"/>
        </w:rPr>
      </w:pPr>
    </w:p>
    <w:p>
      <w:pPr>
        <w:ind w:left="660" w:right="60" w:firstLine="806"/>
        <w:spacing w:after="0" w:line="359" w:lineRule="auto"/>
        <w:tabs>
          <w:tab w:leader="none" w:pos="1745"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jc w:val="both"/>
        <w:ind w:left="660" w:right="160" w:firstLine="806"/>
        <w:spacing w:after="0" w:line="271" w:lineRule="auto"/>
        <w:tabs>
          <w:tab w:leader="none" w:pos="175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right="20" w:firstLine="818"/>
        <w:spacing w:after="0" w:line="308"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7"/>
          <w:szCs w:val="17"/>
          <w:color w:val="auto"/>
        </w:rPr>
      </w:pPr>
    </w:p>
    <w:p>
      <w:pPr>
        <w:ind w:left="660" w:right="20" w:firstLine="806"/>
        <w:spacing w:after="0" w:line="324" w:lineRule="auto"/>
        <w:tabs>
          <w:tab w:leader="none" w:pos="1745"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7"/>
          <w:szCs w:val="17"/>
          <w:color w:val="auto"/>
        </w:rPr>
      </w:pPr>
    </w:p>
    <w:p>
      <w:pPr>
        <w:ind w:left="660" w:right="300" w:firstLine="806"/>
        <w:spacing w:after="0" w:line="293" w:lineRule="auto"/>
        <w:tabs>
          <w:tab w:leader="none" w:pos="175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9, 2023</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Joshua J.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944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Joshua J. Wilson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240"/>
          </w:cols>
          <w:pgMar w:left="320" w:top="918" w:right="339" w:bottom="1440" w:gutter="0" w:footer="0" w:header="0"/>
        </w:sectPr>
      </w:pPr>
    </w:p>
    <w:bookmarkStart w:id="39" w:name="page40"/>
    <w:bookmarkEnd w:id="39"/>
    <w:p>
      <w:pPr>
        <w:ind w:left="10320"/>
        <w:spacing w:after="0"/>
        <w:rPr>
          <w:sz w:val="20"/>
          <w:szCs w:val="20"/>
          <w:color w:val="auto"/>
        </w:rPr>
      </w:pPr>
      <w:r>
        <w:rPr>
          <w:rFonts w:ascii="Arial" w:cs="Arial" w:eastAsia="Arial" w:hAnsi="Arial"/>
          <w:sz w:val="16"/>
          <w:szCs w:val="16"/>
          <w:b w:val="1"/>
          <w:bCs w:val="1"/>
          <w:color w:val="auto"/>
        </w:rPr>
        <w:t>Exhibit 31.2</w:t>
      </w:r>
    </w:p>
    <w:p>
      <w:pPr>
        <w:spacing w:after="0" w:line="289"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Certification by Interim Chief Financial Officer (Principal Financial Officer) Pursuant to Section 302 of the Sarbanes-Oxley Act of 2002</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Daniel O’Quinn, certify that:</w:t>
      </w:r>
    </w:p>
    <w:p>
      <w:pPr>
        <w:spacing w:after="0" w:line="266" w:lineRule="exact"/>
        <w:rPr>
          <w:sz w:val="20"/>
          <w:szCs w:val="20"/>
          <w:color w:val="auto"/>
        </w:rPr>
      </w:pPr>
    </w:p>
    <w:p>
      <w:pPr>
        <w:ind w:left="1080" w:hanging="26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SciPlay Corporation;</w:t>
      </w:r>
    </w:p>
    <w:p>
      <w:pPr>
        <w:spacing w:after="0" w:line="265" w:lineRule="exact"/>
        <w:rPr>
          <w:rFonts w:ascii="Arial" w:cs="Arial" w:eastAsia="Arial" w:hAnsi="Arial"/>
          <w:sz w:val="18"/>
          <w:szCs w:val="18"/>
          <w:color w:val="auto"/>
        </w:rPr>
      </w:pPr>
    </w:p>
    <w:p>
      <w:pPr>
        <w:ind w:right="80" w:firstLine="818"/>
        <w:spacing w:after="0" w:line="27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8"/>
          <w:szCs w:val="18"/>
          <w:color w:val="auto"/>
        </w:rPr>
      </w:pPr>
    </w:p>
    <w:p>
      <w:pPr>
        <w:ind w:right="540" w:firstLine="818"/>
        <w:spacing w:after="0" w:line="34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6"/>
          <w:szCs w:val="16"/>
          <w:color w:val="auto"/>
        </w:rPr>
      </w:pPr>
    </w:p>
    <w:p>
      <w:pPr>
        <w:ind w:right="60" w:firstLine="818"/>
        <w:spacing w:after="0" w:line="27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sz w:val="20"/>
          <w:szCs w:val="20"/>
          <w:color w:val="auto"/>
        </w:rPr>
      </w:pPr>
    </w:p>
    <w:p>
      <w:pPr>
        <w:ind w:right="120" w:firstLine="818"/>
        <w:spacing w:after="0" w:line="271" w:lineRule="auto"/>
        <w:tabs>
          <w:tab w:leader="none" w:pos="10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8"/>
          <w:szCs w:val="18"/>
          <w:color w:val="auto"/>
        </w:rPr>
      </w:pPr>
    </w:p>
    <w:p>
      <w:pPr>
        <w:ind w:right="40" w:firstLine="818"/>
        <w:spacing w:after="0" w:line="271" w:lineRule="auto"/>
        <w:tabs>
          <w:tab w:leader="none" w:pos="10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right="440" w:firstLine="818"/>
        <w:spacing w:after="0" w:line="342" w:lineRule="auto"/>
        <w:tabs>
          <w:tab w:leader="none" w:pos="10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right="240" w:firstLine="818"/>
        <w:spacing w:after="0" w:line="271" w:lineRule="auto"/>
        <w:tabs>
          <w:tab w:leader="none" w:pos="10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sz w:val="20"/>
          <w:szCs w:val="20"/>
          <w:color w:val="auto"/>
        </w:rPr>
      </w:pPr>
    </w:p>
    <w:p>
      <w:pPr>
        <w:ind w:right="20" w:firstLine="818"/>
        <w:spacing w:after="0" w:line="324"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sz w:val="20"/>
          <w:szCs w:val="20"/>
          <w:color w:val="auto"/>
        </w:rPr>
      </w:pPr>
    </w:p>
    <w:p>
      <w:pPr>
        <w:ind w:right="660" w:firstLine="818"/>
        <w:spacing w:after="0" w:line="324" w:lineRule="auto"/>
        <w:tabs>
          <w:tab w:leader="none" w:pos="108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right="340" w:firstLine="818"/>
        <w:spacing w:after="0" w:line="277" w:lineRule="auto"/>
        <w:tabs>
          <w:tab w:leader="none" w:pos="10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2023</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O’Quinn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44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Daniel O’Quinn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Interim Chief Financial Officer (Principal Financial Officer)</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9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7" w:lineRule="exact"/>
        <w:rPr>
          <w:sz w:val="20"/>
          <w:szCs w:val="20"/>
          <w:color w:val="auto"/>
        </w:rPr>
      </w:pPr>
    </w:p>
    <w:p>
      <w:pPr>
        <w:jc w:val="both"/>
        <w:ind w:right="220" w:firstLine="180"/>
        <w:spacing w:after="0" w:line="364" w:lineRule="auto"/>
        <w:rPr>
          <w:sz w:val="20"/>
          <w:szCs w:val="20"/>
          <w:color w:val="auto"/>
        </w:rPr>
      </w:pPr>
      <w:r>
        <w:rPr>
          <w:rFonts w:ascii="Arial" w:cs="Arial" w:eastAsia="Arial" w:hAnsi="Arial"/>
          <w:sz w:val="16"/>
          <w:szCs w:val="16"/>
          <w:color w:val="auto"/>
        </w:rPr>
        <w:t>In connection with the Quarterly Report of SciPlay Corporation (the “Company”) on Form 10-Q for the period ended March 31, 2023 as filed with the Securities and Exchange Commission on the date hereof (the “Report”), I, Joshua J. Wilson, Chief Executive Officer (Principal Executive Officer) of the Company, certify, pursuant to 18 U.S.C. § 1350, as adopted pursuant to Section 906 of the Sarbanes-Oxley Act of 2002, that, to my knowledge:</w:t>
      </w:r>
    </w:p>
    <w:p>
      <w:pPr>
        <w:spacing w:after="0" w:line="189" w:lineRule="exact"/>
        <w:rPr>
          <w:sz w:val="20"/>
          <w:szCs w:val="20"/>
          <w:color w:val="auto"/>
        </w:rPr>
      </w:pPr>
    </w:p>
    <w:p>
      <w:pPr>
        <w:ind w:left="980" w:hanging="648"/>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980" w:right="580" w:hanging="648"/>
        <w:spacing w:after="0" w:line="324" w:lineRule="auto"/>
        <w:tabs>
          <w:tab w:leader="none" w:pos="98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right="700" w:firstLine="170"/>
        <w:spacing w:after="0" w:line="324"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Joshua J.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40640</wp:posOffset>
            </wp:positionV>
            <wp:extent cx="3549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Joshua J. Wilson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 (Principal Executive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May 9, 2023</w:t>
      </w:r>
    </w:p>
    <w:p>
      <w:pPr>
        <w:sectPr>
          <w:pgSz w:w="11900" w:h="16838" w:orient="portrait"/>
          <w:cols w:equalWidth="0" w:num="1">
            <w:col w:w="11240"/>
          </w:cols>
          <w:pgMar w:left="320" w:top="91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9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7" w:lineRule="exact"/>
        <w:rPr>
          <w:sz w:val="20"/>
          <w:szCs w:val="20"/>
          <w:color w:val="auto"/>
        </w:rPr>
      </w:pPr>
    </w:p>
    <w:p>
      <w:pPr>
        <w:ind w:right="60" w:firstLine="180"/>
        <w:spacing w:after="0" w:line="364" w:lineRule="auto"/>
        <w:rPr>
          <w:sz w:val="20"/>
          <w:szCs w:val="20"/>
          <w:color w:val="auto"/>
        </w:rPr>
      </w:pPr>
      <w:r>
        <w:rPr>
          <w:rFonts w:ascii="Arial" w:cs="Arial" w:eastAsia="Arial" w:hAnsi="Arial"/>
          <w:sz w:val="16"/>
          <w:szCs w:val="16"/>
          <w:color w:val="auto"/>
        </w:rPr>
        <w:t>In connection with the Quarterly Report of SciPlay Corporation (the “Company”) on Form 10-Q for the period ended March 31, 2023 as filed with the Securities and Exchange Commission on the date hereof (the “Report”), I, Daniel O’Quinn, Interim Chief Financial Officer (Principal Financial Officer) of the Company, certify, pursuant to 18 U.S.C. § 1350, as adopted pursuant to Section 906 of the Sarbanes-Oxley Act of 2002, that, to my knowledge:</w:t>
      </w:r>
    </w:p>
    <w:p>
      <w:pPr>
        <w:spacing w:after="0" w:line="189" w:lineRule="exact"/>
        <w:rPr>
          <w:sz w:val="20"/>
          <w:szCs w:val="20"/>
          <w:color w:val="auto"/>
        </w:rPr>
      </w:pPr>
    </w:p>
    <w:p>
      <w:pPr>
        <w:ind w:left="980" w:hanging="648"/>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980" w:right="580" w:hanging="648"/>
        <w:spacing w:after="0" w:line="324" w:lineRule="auto"/>
        <w:tabs>
          <w:tab w:leader="none" w:pos="9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right="700" w:firstLine="170"/>
        <w:spacing w:after="0" w:line="324"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Daniel O’Quinn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14605</wp:posOffset>
            </wp:positionV>
            <wp:extent cx="35490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Daniel O’Quinn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Interim Chief Financial Officer (Principal Financial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May 9, 2023</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lowerLetter"/>
      <w:start w:val="42"/>
    </w:lvl>
  </w:abstractNum>
  <w:abstractNum w:abstractNumId="12">
    <w:nsid w:val="3A95F874"/>
    <w:multiLevelType w:val="hybridMultilevel"/>
    <w:lvl w:ilvl="0">
      <w:lvlJc w:val="left"/>
      <w:lvlText w:val="(%1)"/>
      <w:numFmt w:val="lowerLetter"/>
      <w:start w:val="3"/>
    </w:lvl>
  </w:abstractNum>
  <w:abstractNum w:abstractNumId="13">
    <w:nsid w:val="8138641"/>
    <w:multiLevelType w:val="hybridMultilevel"/>
    <w:lvl w:ilvl="0">
      <w:lvlJc w:val="left"/>
      <w:lvlText w:val="(%1)"/>
      <w:numFmt w:val="lowerLetter"/>
      <w:start w:val="5"/>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lvl w:ilvl="1">
      <w:lvlJc w:val="left"/>
      <w:lvlText w:val="%2"/>
      <w:numFmt w:val="decimal"/>
      <w:start w:val="104"/>
    </w:lvl>
  </w:abstractNum>
  <w:abstractNum w:abstractNumId="19">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21">
    <w:nsid w:val="614FD4A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22">
    <w:nsid w:val="419AC24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11"/>
    </w:lvl>
  </w:abstractNum>
  <w:abstractNum w:abstractNumId="25">
    <w:nsid w:val="5072367"/>
    <w:multiLevelType w:val="hybridMultilevel"/>
    <w:lvl w:ilvl="0">
      <w:lvlJc w:val="left"/>
      <w:lvlText w:val="%1."/>
      <w:numFmt w:val="decimal"/>
      <w:start w:val="5"/>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1)"/>
      <w:numFmt w:val="lowerLetter"/>
      <w:start w:val="2"/>
    </w:lvl>
  </w:abstractNum>
  <w:abstractNum w:abstractNumId="28">
    <w:nsid w:val="7724C67E"/>
    <w:multiLevelType w:val="hybridMultilevel"/>
    <w:lvl w:ilvl="0">
      <w:lvlJc w:val="left"/>
      <w:lvlText w:val="%1"/>
      <w:numFmt w:val="lowerLetter"/>
      <w:start w:val="1"/>
    </w:lvl>
    <w:lvl w:ilvl="1">
      <w:lvlJc w:val="left"/>
      <w:lvlText w:val="(%2)"/>
      <w:numFmt w:val="lowerLetter"/>
      <w:start w:val="1"/>
    </w:lvl>
  </w:abstractNum>
  <w:abstractNum w:abstractNumId="29">
    <w:nsid w:val="5C482A97"/>
    <w:multiLevelType w:val="hybridMultilevel"/>
    <w:lvl w:ilvl="0">
      <w:lvlJc w:val="left"/>
      <w:lvlText w:val="(%1)"/>
      <w:numFmt w:val="lowerLetter"/>
      <w:start w:val="5"/>
    </w:lvl>
    <w:lvl w:ilvl="1">
      <w:lvlJc w:val="left"/>
      <w:lvlText w:val="(%2)"/>
      <w:numFmt w:val="lowerLetter"/>
      <w:start w:val="6"/>
    </w:lvl>
  </w:abstractNum>
  <w:abstractNum w:abstractNumId="30">
    <w:nsid w:val="2463B9EA"/>
    <w:multiLevelType w:val="hybridMultilevel"/>
    <w:lvl w:ilvl="0">
      <w:lvlJc w:val="left"/>
      <w:lvlText w:val="(%1)"/>
      <w:numFmt w:val="lowerLetter"/>
      <w:start w:val="7"/>
    </w:lvl>
  </w:abstractNum>
  <w:abstractNum w:abstractNumId="31">
    <w:nsid w:val="5E884ADC"/>
    <w:multiLevelType w:val="hybridMultilevel"/>
    <w:lvl w:ilvl="0">
      <w:lvlJc w:val="left"/>
      <w:lvlText w:val="%1."/>
      <w:numFmt w:val="decimal"/>
      <w:start w:val="7"/>
    </w:lvl>
  </w:abstractNum>
  <w:abstractNum w:abstractNumId="32">
    <w:nsid w:val="51EAD36B"/>
    <w:multiLevelType w:val="hybridMultilevel"/>
    <w:lvl w:ilvl="0">
      <w:lvlJc w:val="left"/>
      <w:lvlText w:val="%1."/>
      <w:numFmt w:val="decimal"/>
      <w:start w:val="8"/>
    </w:lvl>
  </w:abstractNum>
  <w:abstractNum w:abstractNumId="33">
    <w:nsid w:val="2D517796"/>
    <w:multiLevelType w:val="hybridMultilevel"/>
    <w:lvl w:ilvl="0">
      <w:lvlJc w:val="left"/>
      <w:lvlText w:val="%1."/>
      <w:numFmt w:val="decimal"/>
      <w:start w:val="9"/>
    </w:lvl>
  </w:abstractNum>
  <w:abstractNum w:abstractNumId="34">
    <w:nsid w:val="580BD78F"/>
    <w:multiLevelType w:val="hybridMultilevel"/>
    <w:lvl w:ilvl="0">
      <w:lvlJc w:val="left"/>
      <w:lvlText w:val="%1."/>
      <w:numFmt w:val="decimal"/>
      <w:start w:val="1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lowerLetter"/>
      <w:start w:val="3"/>
    </w:lvl>
  </w:abstractNum>
  <w:abstractNum w:abstractNumId="37">
    <w:nsid w:val="70A64E2A"/>
    <w:multiLevelType w:val="hybridMultilevel"/>
    <w:lvl w:ilvl="0">
      <w:lvlJc w:val="left"/>
      <w:lvlText w:val="(%1)"/>
      <w:numFmt w:val="lowerLetter"/>
      <w:start w:val="7"/>
    </w:lvl>
  </w:abstractNum>
  <w:abstractNum w:abstractNumId="38">
    <w:nsid w:val="6A2342EC"/>
    <w:multiLevelType w:val="hybridMultilevel"/>
    <w:lvl w:ilvl="0">
      <w:lvlJc w:val="left"/>
      <w:lvlText w:val="%1."/>
      <w:numFmt w:val="decimal"/>
      <w:start w:val="13"/>
    </w:lvl>
  </w:abstractNum>
  <w:abstractNum w:abstractNumId="39">
    <w:nsid w:val="2A487CB0"/>
    <w:multiLevelType w:val="hybridMultilevel"/>
    <w:lvl w:ilvl="0">
      <w:lvlJc w:val="left"/>
      <w:lvlText w:val="%1."/>
      <w:numFmt w:val="decimal"/>
      <w:start w:val="1"/>
    </w:lvl>
    <w:lvl w:ilvl="1">
      <w:lvlJc w:val="left"/>
      <w:lvlText w:val="%2)"/>
      <w:numFmt w:val="lowerLetter"/>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5"/>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8" Type="http://schemas.openxmlformats.org/officeDocument/2006/relationships/hyperlink" Target="http://www.sec.gov/Archives/edgar/data/1760717/000110465919027606/a18-41001_14ex3d1.htm" TargetMode="External"/><Relationship Id="rId59" Type="http://schemas.openxmlformats.org/officeDocument/2006/relationships/hyperlink" Target="http://www.sec.gov/Archives/edgar/data/1760717/000095015722000825/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2023-05-09T16:48:27Z</dcterms:created>
  <dcterms:modified xsi:type="dcterms:W3CDTF">2023-05-09T16:48:27Z</dcterms:modified>
</cp:coreProperties>
</file>