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Korsanos Antonia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 &amp; WONDER,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6601 BERMUDA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LAS VEGAS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89119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Light &amp; Wonder, Inc.</w:t>
              </w:r>
            </w:hyperlink>
            <w:r>
              <w:rPr/>
              <w:t xml:space="preserve"> [ </w:t>
            </w:r>
            <w:r>
              <w:rPr>
                <w:rFonts w:ascii="Times;serif" w:hAnsi="Times;serif"/>
                <w:color w:val="0000FF"/>
                <w:sz w:val="24"/>
                <w:shd w:fill="FFFFFF" w:val="clear"/>
              </w:rPr>
              <w:t>ASX:LNW</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ASX:LNW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1008"/>
        <w:gridCol w:w="446"/>
        <w:gridCol w:w="79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35.42</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228,817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55,334</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95.84</w:t>
            </w:r>
            <w:r>
              <w:rPr>
                <w:rFonts w:ascii="Times;serif" w:hAnsi="Times;serif"/>
                <w:color w:val="008000"/>
                <w:position w:val="7"/>
                <w:sz w:val="16"/>
                <w:sz w:val="20"/>
                <w:shd w:fill="FFFFFF" w:val="clear"/>
              </w:rPr>
              <w:t>(2)</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173,483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1,425</w:t>
            </w:r>
            <w:r>
              <w:rPr>
                <w:rFonts w:ascii="Times;serif" w:hAnsi="Times;serif"/>
                <w:color w:val="008000"/>
                <w:position w:val="7"/>
                <w:sz w:val="16"/>
                <w:sz w:val="20"/>
                <w:shd w:fill="FFFFFF" w:val="clear"/>
              </w:rPr>
              <w:t>(3)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91.5</w:t>
            </w:r>
            <w:r>
              <w:rPr>
                <w:rFonts w:ascii="Times;serif" w:hAnsi="Times;serif"/>
                <w:color w:val="008000"/>
                <w:position w:val="7"/>
                <w:sz w:val="16"/>
                <w:sz w:val="20"/>
                <w:shd w:fill="FFFFFF" w:val="clear"/>
              </w:rPr>
              <w:t>(6)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172,058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37,929</w:t>
            </w:r>
            <w:r>
              <w:rPr>
                <w:rFonts w:ascii="Times;serif" w:hAnsi="Times;serif"/>
                <w:color w:val="008000"/>
                <w:position w:val="7"/>
                <w:sz w:val="16"/>
                <w:sz w:val="20"/>
                <w:shd w:fill="FFFFFF" w:val="clear"/>
              </w:rPr>
              <w:t>(4)</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91.95</w:t>
            </w:r>
            <w:r>
              <w:rPr>
                <w:rFonts w:ascii="Times;serif" w:hAnsi="Times;serif"/>
                <w:color w:val="008000"/>
                <w:position w:val="7"/>
                <w:sz w:val="16"/>
                <w:sz w:val="20"/>
                <w:shd w:fill="FFFFFF" w:val="clear"/>
              </w:rPr>
              <w:t>(6)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134,129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646</w:t>
            </w:r>
            <w:r>
              <w:rPr>
                <w:rFonts w:ascii="Times;serif" w:hAnsi="Times;serif"/>
                <w:color w:val="008000"/>
                <w:position w:val="7"/>
                <w:sz w:val="16"/>
                <w:sz w:val="20"/>
                <w:shd w:fill="FFFFFF" w:val="clear"/>
              </w:rPr>
              <w:t>(5)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93.06</w:t>
            </w:r>
            <w:r>
              <w:rPr>
                <w:rFonts w:ascii="Times;serif" w:hAnsi="Times;serif"/>
                <w:color w:val="008000"/>
                <w:position w:val="7"/>
                <w:sz w:val="16"/>
                <w:sz w:val="20"/>
                <w:shd w:fill="FFFFFF" w:val="clear"/>
              </w:rPr>
              <w:t>(6)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133,483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Child</w:t>
            </w:r>
            <w:r>
              <w:rPr>
                <w:rFonts w:ascii="Times;serif" w:hAnsi="Times;serif"/>
                <w:color w:val="008000"/>
                <w:position w:val="7"/>
                <w:sz w:val="16"/>
                <w:sz w:val="20"/>
                <w:shd w:fill="FFFFFF" w:val="clear"/>
              </w:rPr>
              <w:t>(7)</w:t>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35.42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377,933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are held via CHESS Depositary Interests ("CDIs"), which are units of beneficial ownership in shares of common stock of the Company that are publicly traded on the Australian Securities Exchange (the "ASX") and held by CHESS Depositary Nominees Pty. Limited, a subsidiary of ASX Limited, the company that operates the ASX. Each CDI represents one fully paid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withholding of CDIs to pay the exercise price upon the exercise of stock options. Price converted from Australian Dollars into U.S. Dollars based on an exchange rate of $1 AUD to $0.7047 USD.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sale of CDIs to cover tax liability in connection with the exercise of stock options. The transaction was executed in multiple trades at prices ranging from $91.41 to $91.64. The price reported above reflects the weighted average purchase price. Details regarding aggregated purchase transactions will be provided upon request by the Commission staff,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sale of CDIs to cover tax liability in connection with the exercise of stock options. The transaction was executed in multiple trades at prices ranging from $91.65 to $92.64. The price reported above reflects the weighted average purchase price. Details regarding aggregated purchase transactions will be provided upon request by the Commission staff,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sale of CDIs to cover tax liability in connection with the exercise of stock options. The transaction was executed in multiple trades at prices ranging from $92.65 to $93.64. The price reported above reflects the weighted average purchase price. Details regarding aggregated purchase transactions will be provided upon request by the Commission staff,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converted from Australian Dollars into U.S. Dollars based on an exchange rate of $1 AUD to $0.7088 USD.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reporting person disclaims beneficial ownership of the shares held by her child. This report should not be deemed an admission that the reporting person is the beneficial owner of her child's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stock options vested in three equal installments on September 28, 2021, 2022 and 2023.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Sweta Gabhawala, attorney-in-fact for Antonia Korsanos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5242" TargetMode="External"/><Relationship Id="rId5" Type="http://schemas.openxmlformats.org/officeDocument/2006/relationships/hyperlink" Target="http://www.sec.gov/cgi-bin/browse-edgar?action=getcompany&amp;CIK=00007500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1004</Words>
  <Characters>5363</Characters>
  <CharactersWithSpaces>6246</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