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4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Commission file number: 001-11693</w:t>
      </w:r>
    </w:p>
    <w:p>
      <w:pPr>
        <w:pStyle w:val="TextBody"/>
        <w:bidi w:val="0"/>
        <w:spacing w:before="0" w:after="4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LIGHT &amp; WONDER,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81-0422894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tbl>
      <w:tblPr>
        <w:tblW w:w="4826" w:type="dxa"/>
        <w:jc w:val="center"/>
        <w:tblInd w:w="0" w:type="dxa"/>
        <w:tblLayout w:type="fixed"/>
        <w:tblCellMar>
          <w:top w:w="28" w:type="dxa"/>
          <w:left w:w="28" w:type="dxa"/>
          <w:bottom w:w="28" w:type="dxa"/>
          <w:right w:w="28" w:type="dxa"/>
        </w:tblCellMar>
      </w:tblPr>
      <w:tblGrid>
        <w:gridCol w:w="1294"/>
        <w:gridCol w:w="1134"/>
        <w:gridCol w:w="1142"/>
        <w:gridCol w:w="109"/>
        <w:gridCol w:w="109"/>
        <w:gridCol w:w="109"/>
        <w:gridCol w:w="272"/>
        <w:gridCol w:w="272"/>
        <w:gridCol w:w="385"/>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89119</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897-7150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144" w:type="dxa"/>
        <w:jc w:val="center"/>
        <w:tblInd w:w="0" w:type="dxa"/>
        <w:tblLayout w:type="fixed"/>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LNW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lineRule="auto" w:line="288" w:before="0" w:after="40"/>
        <w:jc w:val="left"/>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3" w:type="dxa"/>
        <w:jc w:val="center"/>
        <w:tblInd w:w="0" w:type="dxa"/>
        <w:tblLayout w:type="fixed"/>
        <w:tblCellMar>
          <w:top w:w="28" w:type="dxa"/>
          <w:left w:w="28" w:type="dxa"/>
          <w:bottom w:w="28" w:type="dxa"/>
          <w:right w:w="28" w:type="dxa"/>
        </w:tblCellMar>
      </w:tblPr>
      <w:tblGrid>
        <w:gridCol w:w="777"/>
        <w:gridCol w:w="683"/>
        <w:gridCol w:w="685"/>
        <w:gridCol w:w="109"/>
        <w:gridCol w:w="109"/>
        <w:gridCol w:w="109"/>
        <w:gridCol w:w="689"/>
        <w:gridCol w:w="689"/>
        <w:gridCol w:w="691"/>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outstanding as of November 3, 2023 was 90,047,398.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AND OTHER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 2023</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8"/>
        <w:gridCol w:w="263"/>
        <w:gridCol w:w="265"/>
        <w:gridCol w:w="2944"/>
        <w:gridCol w:w="2944"/>
        <w:gridCol w:w="2949"/>
        <w:gridCol w:w="158"/>
        <w:gridCol w:w="158"/>
        <w:gridCol w:w="22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9">
              <w:r>
                <w:rPr>
                  <w:rStyle w:val="InternetLink"/>
                  <w:rFonts w:ascii="Times New Roman;sans-serif" w:hAnsi="Times New Roman;sans-serif"/>
                  <w:b w:val="false"/>
                  <w:color w:val="0000FF"/>
                  <w:sz w:val="20"/>
                  <w:u w:val="single"/>
                </w:rPr>
                <w:t>PART I.</w:t>
              </w:r>
            </w:hyperlink>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9">
              <w:r>
                <w:rPr>
                  <w:rStyle w:val="InternetLink"/>
                  <w:rFonts w:ascii="Times New Roman;sans-serif" w:hAnsi="Times New Roman;sans-serif"/>
                  <w:b w:val="false"/>
                  <w:color w:val="0000FF"/>
                  <w:sz w:val="20"/>
                  <w:u w:val="singl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22">
              <w:r>
                <w:rPr>
                  <w:rStyle w:val="InternetLink"/>
                  <w:rFonts w:ascii="Times New Roman;sans-serif" w:hAnsi="Times New Roman;sans-serif"/>
                  <w:b w:val="false"/>
                  <w:color w:val="0000FF"/>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22">
              <w:r>
                <w:rPr>
                  <w:rStyle w:val="InternetLink"/>
                  <w:rFonts w:ascii="Times New Roman;sans-serif" w:hAnsi="Times New Roman;sans-serif"/>
                  <w:b w:val="false"/>
                  <w:color w:val="0000FF"/>
                  <w:sz w:val="20"/>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25">
              <w:r>
                <w:rPr>
                  <w:rStyle w:val="InternetLink"/>
                  <w:rFonts w:ascii="Times New Roman;sans-serif" w:hAnsi="Times New Roman;sans-serif"/>
                  <w:b w:val="false"/>
                  <w:color w:val="000080"/>
                  <w:sz w:val="20"/>
                  <w:u w:val="single"/>
                </w:rPr>
                <w:t xml:space="preserve">Consolidated Statements of Operations for the Three and </w:t>
              </w:r>
            </w:hyperlink>
            <w:hyperlink w:anchor="i89ca809853b3492cb14122ec69198613_25">
              <w:r>
                <w:rPr>
                  <w:rStyle w:val="InternetLink"/>
                  <w:rFonts w:ascii="Times New Roman;sans-serif" w:hAnsi="Times New Roman;sans-serif"/>
                  <w:b w:val="false"/>
                  <w:color w:val="000080"/>
                  <w:sz w:val="20"/>
                  <w:u w:val="single"/>
                </w:rPr>
                <w:t>Nine</w:t>
              </w:r>
            </w:hyperlink>
            <w:hyperlink w:anchor="i89ca809853b3492cb14122ec69198613_25">
              <w:r>
                <w:rPr>
                  <w:rStyle w:val="InternetLink"/>
                  <w:rFonts w:ascii="Times New Roman;sans-serif" w:hAnsi="Times New Roman;sans-serif"/>
                  <w:b w:val="false"/>
                  <w:color w:val="000080"/>
                  <w:sz w:val="20"/>
                  <w:u w:val="single"/>
                </w:rPr>
                <w:t xml:space="preserve"> Months Ended </w:t>
              </w:r>
            </w:hyperlink>
            <w:hyperlink w:anchor="i89ca809853b3492cb14122ec69198613_25">
              <w:r>
                <w:rPr>
                  <w:rStyle w:val="InternetLink"/>
                  <w:rFonts w:ascii="Times New Roman;sans-serif" w:hAnsi="Times New Roman;sans-serif"/>
                  <w:b w:val="false"/>
                  <w:color w:val="000080"/>
                  <w:sz w:val="20"/>
                  <w:u w:val="single"/>
                </w:rPr>
                <w:t>September</w:t>
              </w:r>
            </w:hyperlink>
            <w:hyperlink w:anchor="i89ca809853b3492cb14122ec69198613_25">
              <w:r>
                <w:rPr>
                  <w:rStyle w:val="InternetLink"/>
                  <w:rFonts w:ascii="Times New Roman;sans-serif" w:hAnsi="Times New Roman;sans-serif"/>
                  <w:b w:val="false"/>
                  <w:color w:val="000080"/>
                  <w:sz w:val="20"/>
                  <w:u w:val="single"/>
                </w:rPr>
                <w:t xml:space="preserv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25">
              <w:r>
                <w:rPr>
                  <w:rStyle w:val="InternetLink"/>
                  <w:rFonts w:ascii="Times New Roman;sans-serif" w:hAnsi="Times New Roman;sans-serif"/>
                  <w:b w:val="false"/>
                  <w:color w:val="0000FF"/>
                  <w:sz w:val="20"/>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ca809853b3492cb14122ec69198613_28">
              <w:r>
                <w:rPr>
                  <w:rStyle w:val="InternetLink"/>
                  <w:rFonts w:ascii="Times New Roman;sans-serif" w:hAnsi="Times New Roman;sans-serif"/>
                  <w:b w:val="false"/>
                  <w:color w:val="000080"/>
                  <w:sz w:val="20"/>
                  <w:u w:val="single"/>
                </w:rPr>
                <w:t xml:space="preserve">Consolidated Statements of Comprehensive Income for the Three and </w:t>
              </w:r>
            </w:hyperlink>
            <w:hyperlink w:anchor="i89ca809853b3492cb14122ec69198613_28">
              <w:r>
                <w:rPr>
                  <w:rStyle w:val="InternetLink"/>
                  <w:rFonts w:ascii="Times New Roman;sans-serif" w:hAnsi="Times New Roman;sans-serif"/>
                  <w:b w:val="false"/>
                  <w:color w:val="000080"/>
                  <w:sz w:val="20"/>
                  <w:u w:val="single"/>
                </w:rPr>
                <w:t>Nine</w:t>
              </w:r>
            </w:hyperlink>
            <w:hyperlink w:anchor="i89ca809853b3492cb14122ec69198613_28">
              <w:r>
                <w:rPr>
                  <w:rStyle w:val="InternetLink"/>
                  <w:rFonts w:ascii="Times New Roman;sans-serif" w:hAnsi="Times New Roman;sans-serif"/>
                  <w:b w:val="false"/>
                  <w:color w:val="000080"/>
                  <w:sz w:val="20"/>
                  <w:u w:val="single"/>
                </w:rPr>
                <w:t xml:space="preserve"> Months Ended </w:t>
              </w:r>
            </w:hyperlink>
            <w:hyperlink w:anchor="i89ca809853b3492cb14122ec69198613_28">
              <w:r>
                <w:rPr>
                  <w:rStyle w:val="InternetLink"/>
                  <w:rFonts w:ascii="Times New Roman;sans-serif" w:hAnsi="Times New Roman;sans-serif"/>
                  <w:b w:val="false"/>
                  <w:color w:val="000080"/>
                  <w:sz w:val="20"/>
                  <w:u w:val="single"/>
                </w:rPr>
                <w:t>September</w:t>
              </w:r>
            </w:hyperlink>
            <w:hyperlink w:anchor="i89ca809853b3492cb14122ec69198613_28">
              <w:r>
                <w:rPr>
                  <w:rStyle w:val="InternetLink"/>
                  <w:rFonts w:ascii="Times New Roman;sans-serif" w:hAnsi="Times New Roman;sans-serif"/>
                  <w:b w:val="false"/>
                  <w:color w:val="000080"/>
                  <w:sz w:val="20"/>
                  <w:u w:val="single"/>
                </w:rPr>
                <w:t xml:space="preserv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28">
              <w:r>
                <w:rPr>
                  <w:rStyle w:val="InternetLink"/>
                  <w:rFonts w:ascii="Times New Roman;sans-serif" w:hAnsi="Times New Roman;sans-serif"/>
                  <w:b w:val="false"/>
                  <w:color w:val="0000FF"/>
                  <w:sz w:val="20"/>
                  <w:u w:val="singl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31">
              <w:r>
                <w:rPr>
                  <w:rStyle w:val="InternetLink"/>
                  <w:rFonts w:ascii="Times New Roman;sans-serif" w:hAnsi="Times New Roman;sans-serif"/>
                  <w:b w:val="false"/>
                  <w:color w:val="000080"/>
                  <w:sz w:val="20"/>
                  <w:u w:val="single"/>
                </w:rPr>
                <w:t xml:space="preserve">Consolidated Balance Sheets as of </w:t>
              </w:r>
            </w:hyperlink>
            <w:hyperlink w:anchor="i89ca809853b3492cb14122ec69198613_31">
              <w:r>
                <w:rPr>
                  <w:rStyle w:val="InternetLink"/>
                  <w:rFonts w:ascii="Times New Roman;sans-serif" w:hAnsi="Times New Roman;sans-serif"/>
                  <w:b w:val="false"/>
                  <w:color w:val="000080"/>
                  <w:sz w:val="20"/>
                  <w:u w:val="single"/>
                </w:rPr>
                <w:t>September</w:t>
              </w:r>
            </w:hyperlink>
            <w:hyperlink w:anchor="i89ca809853b3492cb14122ec69198613_31">
              <w:r>
                <w:rPr>
                  <w:rStyle w:val="InternetLink"/>
                  <w:rFonts w:ascii="Times New Roman;sans-serif" w:hAnsi="Times New Roman;sans-serif"/>
                  <w:b w:val="false"/>
                  <w:color w:val="000080"/>
                  <w:sz w:val="20"/>
                  <w:u w:val="single"/>
                </w:rPr>
                <w:t xml:space="preserve"> 30, 2023 and December 31,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31">
              <w:r>
                <w:rPr>
                  <w:rStyle w:val="InternetLink"/>
                  <w:rFonts w:ascii="Times New Roman;sans-serif" w:hAnsi="Times New Roman;sans-serif"/>
                  <w:b w:val="false"/>
                  <w:color w:val="0000FF"/>
                  <w:sz w:val="20"/>
                  <w:u w:val="single"/>
                </w:rPr>
                <w:t>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34">
              <w:r>
                <w:rPr>
                  <w:rStyle w:val="InternetLink"/>
                  <w:rFonts w:ascii="Times New Roman;sans-serif" w:hAnsi="Times New Roman;sans-serif"/>
                  <w:b w:val="false"/>
                  <w:color w:val="000080"/>
                  <w:sz w:val="20"/>
                  <w:u w:val="single"/>
                </w:rPr>
                <w:t xml:space="preserve">Condensed Consolidated Statements of Cash Flows for the </w:t>
              </w:r>
            </w:hyperlink>
            <w:hyperlink w:anchor="i89ca809853b3492cb14122ec69198613_34">
              <w:r>
                <w:rPr>
                  <w:rStyle w:val="InternetLink"/>
                  <w:rFonts w:ascii="Times New Roman;sans-serif" w:hAnsi="Times New Roman;sans-serif"/>
                  <w:b w:val="false"/>
                  <w:color w:val="000080"/>
                  <w:sz w:val="20"/>
                  <w:u w:val="single"/>
                </w:rPr>
                <w:t>Nine</w:t>
              </w:r>
            </w:hyperlink>
            <w:hyperlink w:anchor="i89ca809853b3492cb14122ec69198613_34">
              <w:r>
                <w:rPr>
                  <w:rStyle w:val="InternetLink"/>
                  <w:rFonts w:ascii="Times New Roman;sans-serif" w:hAnsi="Times New Roman;sans-serif"/>
                  <w:b w:val="false"/>
                  <w:color w:val="000080"/>
                  <w:sz w:val="20"/>
                  <w:u w:val="single"/>
                </w:rPr>
                <w:t xml:space="preserve"> Months Ended </w:t>
              </w:r>
            </w:hyperlink>
            <w:hyperlink w:anchor="i89ca809853b3492cb14122ec69198613_34">
              <w:r>
                <w:rPr>
                  <w:rStyle w:val="InternetLink"/>
                  <w:rFonts w:ascii="Times New Roman;sans-serif" w:hAnsi="Times New Roman;sans-serif"/>
                  <w:b w:val="false"/>
                  <w:color w:val="000080"/>
                  <w:sz w:val="20"/>
                  <w:u w:val="single"/>
                </w:rPr>
                <w:t>September</w:t>
              </w:r>
            </w:hyperlink>
            <w:hyperlink w:anchor="i89ca809853b3492cb14122ec69198613_34">
              <w:r>
                <w:rPr>
                  <w:rStyle w:val="InternetLink"/>
                  <w:rFonts w:ascii="Times New Roman;sans-serif" w:hAnsi="Times New Roman;sans-serif"/>
                  <w:b w:val="false"/>
                  <w:color w:val="000080"/>
                  <w:sz w:val="20"/>
                  <w:u w:val="single"/>
                </w:rPr>
                <w:t xml:space="preserv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34">
              <w:r>
                <w:rPr>
                  <w:rStyle w:val="InternetLink"/>
                  <w:rFonts w:ascii="Times New Roman;sans-serif" w:hAnsi="Times New Roman;sans-serif"/>
                  <w:b w:val="false"/>
                  <w:color w:val="0000FF"/>
                  <w:sz w:val="20"/>
                  <w:u w:val="single"/>
                </w:rPr>
                <w:t>10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37">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37">
              <w:r>
                <w:rPr>
                  <w:rStyle w:val="InternetLink"/>
                  <w:rFonts w:ascii="Times New Roman;sans-serif" w:hAnsi="Times New Roman;sans-serif"/>
                  <w:b w:val="false"/>
                  <w:color w:val="0000FF"/>
                  <w:sz w:val="20"/>
                  <w:u w:val="single"/>
                </w:rPr>
                <w:t>11</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97">
              <w:r>
                <w:rPr>
                  <w:rStyle w:val="InternetLink"/>
                  <w:rFonts w:ascii="Times New Roman;sans-serif" w:hAnsi="Times New Roman;sans-serif"/>
                  <w:b w:val="false"/>
                  <w:color w:val="0000FF"/>
                  <w:sz w:val="20"/>
                  <w:u w:val="single"/>
                </w:rPr>
                <w:t>32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39">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39">
              <w:r>
                <w:rPr>
                  <w:rStyle w:val="InternetLink"/>
                  <w:rFonts w:ascii="Times New Roman;sans-serif" w:hAnsi="Times New Roman;sans-serif"/>
                  <w:b w:val="false"/>
                  <w:color w:val="0000FF"/>
                  <w:sz w:val="20"/>
                  <w:u w:val="single"/>
                </w:rPr>
                <w:t>44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42">
              <w:r>
                <w:rPr>
                  <w:rStyle w:val="InternetLink"/>
                  <w:rFonts w:ascii="Times New Roman;sans-serif" w:hAnsi="Times New Roman;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42">
              <w:r>
                <w:rPr>
                  <w:rStyle w:val="InternetLink"/>
                  <w:rFonts w:ascii="Times New Roman;sans-serif" w:hAnsi="Times New Roman;sans-serif"/>
                  <w:b w:val="false"/>
                  <w:color w:val="0000FF"/>
                  <w:sz w:val="20"/>
                  <w:u w:val="single"/>
                </w:rPr>
                <w:t>44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45">
              <w:r>
                <w:rPr>
                  <w:rStyle w:val="InternetLink"/>
                  <w:rFonts w:ascii="Times New Roman;sans-serif" w:hAnsi="Times New Roman;sans-serif"/>
                  <w:b w:val="false"/>
                  <w:color w:val="0000FF"/>
                  <w:sz w:val="20"/>
                  <w:u w:val="single"/>
                </w:rPr>
                <w:t>PART II.</w:t>
              </w:r>
            </w:hyperlink>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45">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48">
              <w:r>
                <w:rPr>
                  <w:rStyle w:val="InternetLink"/>
                  <w:rFonts w:ascii="Times New Roman;sans-serif" w:hAnsi="Times New Roman;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48">
              <w:r>
                <w:rPr>
                  <w:rStyle w:val="InternetLink"/>
                  <w:rFonts w:ascii="Times New Roman;sans-serif" w:hAnsi="Times New Roman;sans-serif"/>
                  <w:b w:val="false"/>
                  <w:color w:val="0000FF"/>
                  <w:sz w:val="20"/>
                  <w:u w:val="single"/>
                </w:rPr>
                <w:t>45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51">
              <w:r>
                <w:rPr>
                  <w:rStyle w:val="InternetLink"/>
                  <w:rFonts w:ascii="Times New Roman;sans-serif" w:hAnsi="Times New Roman;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51">
              <w:r>
                <w:rPr>
                  <w:rStyle w:val="InternetLink"/>
                  <w:rFonts w:ascii="Times New Roman;sans-serif" w:hAnsi="Times New Roman;sans-serif"/>
                  <w:b w:val="false"/>
                  <w:color w:val="0000FF"/>
                  <w:sz w:val="20"/>
                  <w:u w:val="single"/>
                </w:rPr>
                <w:t>45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54">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54">
              <w:r>
                <w:rPr>
                  <w:rStyle w:val="InternetLink"/>
                  <w:rFonts w:ascii="Times New Roman;sans-serif" w:hAnsi="Times New Roman;sans-serif"/>
                  <w:b w:val="false"/>
                  <w:color w:val="0000FF"/>
                  <w:sz w:val="20"/>
                  <w:u w:val="single"/>
                </w:rPr>
                <w:t>47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57">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57">
              <w:r>
                <w:rPr>
                  <w:rStyle w:val="InternetLink"/>
                  <w:rFonts w:ascii="Times New Roman;sans-serif" w:hAnsi="Times New Roman;sans-serif"/>
                  <w:b w:val="false"/>
                  <w:color w:val="0000FF"/>
                  <w:sz w:val="20"/>
                  <w:u w:val="single"/>
                </w:rPr>
                <w:t>47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60">
              <w:r>
                <w:rPr>
                  <w:rStyle w:val="InternetLink"/>
                  <w:rFonts w:ascii="Times New Roman;sans-serif" w:hAnsi="Times New Roman;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60">
              <w:r>
                <w:rPr>
                  <w:rStyle w:val="InternetLink"/>
                  <w:rFonts w:ascii="Times New Roman;sans-serif" w:hAnsi="Times New Roman;sans-serif"/>
                  <w:b w:val="false"/>
                  <w:color w:val="0000FF"/>
                  <w:sz w:val="20"/>
                  <w:u w:val="single"/>
                </w:rPr>
                <w:t>47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63">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63">
              <w:r>
                <w:rPr>
                  <w:rStyle w:val="InternetLink"/>
                  <w:rFonts w:ascii="Times New Roman;sans-serif" w:hAnsi="Times New Roman;sans-serif"/>
                  <w:b w:val="false"/>
                  <w:color w:val="0000FF"/>
                  <w:sz w:val="20"/>
                  <w:u w:val="single"/>
                </w:rPr>
                <w:t>47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89ca809853b3492cb14122ec69198613_166">
              <w:r>
                <w:rPr>
                  <w:rStyle w:val="InternetLink"/>
                  <w:rFonts w:ascii="Times New Roman;sans-serif" w:hAnsi="Times New Roman;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9ca809853b3492cb14122ec69198613_166">
              <w:r>
                <w:rPr>
                  <w:rStyle w:val="InternetLink"/>
                  <w:rFonts w:ascii="Times New Roman;sans-serif" w:hAnsi="Times New Roman;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415"/>
        <w:gridCol w:w="419"/>
        <w:gridCol w:w="139"/>
        <w:gridCol w:w="139"/>
        <w:gridCol w:w="139"/>
        <w:gridCol w:w="3030"/>
        <w:gridCol w:w="2257"/>
        <w:gridCol w:w="2861"/>
      </w:tblGrid>
      <w:tr>
        <w:trPr/>
        <w:tc>
          <w:tcPr>
            <w:tcW w:w="8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Glossary of Terms</w:t>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terms or acronyms used in this Quarterly Report on Form 10-Q are defined below:</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or Acronym</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Definition</w:t>
            </w:r>
          </w:p>
        </w:tc>
      </w:tr>
      <w:tr>
        <w:trPr/>
        <w:tc>
          <w:tcPr>
            <w:tcW w:w="1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10-K</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Annual Report on Form 10-K filed with the SEC on March 1, 2023</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Unsecured Notes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unsecured notes due 2025 issued by LNWI</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 senior unsecured notes due 2028 issued by LNWI</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7.250% senior unsecured notes due 2029 issued by LNWI</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Unsecured Notes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senior unsecured notes due 2031 issued by LNWI</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AEBITDA</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our performance measure of profit or loss for our business segments</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ASX</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Securities Exchange</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CHESS Depositary Interests, instruments traded on the ASX</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casino-management system</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disease first identified in 2019 (declared a pandemic by the World Health Organization on March 11, 2020), the resulting pandemic and the associated impacts on the macroeconomic environment in general and our business environment specifically</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 (excluding goodwill)</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Divested Businesses or Divestitures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Lottery Business and Sports Betting Business combined or the sales of these, as appropriate within the context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KPIs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Performance Indicators</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LBO</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betting office</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and Wonder International, Inc., a wholly-owned subsidiary of L&amp;W and successor to Scientific Games International, Inc.</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Credit Agreement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with aggregate commitments of $750 million extended pursuant to the LNWI Credit Agreement</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 issued pursuant to the LNWI Credit Agreement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Lottery Business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prior operating business segment that provided instant and draw</w:t>
              <w:noBreakHyphen/>
              <w:t>based lottery products, lottery systems and lottery content and services to lottery operators wagering solutions to various gaming entities. This business segment was divested during the second quarter of 2022 and is included in discontinued operations in our financial statements</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note in the Notes to Condensed Consolidated Financial Statements in this Quarterly Report on Form 10-Q, unless otherwise indicated</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 Corporation</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 Revolver</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million revolving credit facility agreement entered into by SciPlay Holding Company, LLC, a subsidiary of SciPlay Corporation, that matures in May 2024</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23"/>
        <w:gridCol w:w="434"/>
        <w:gridCol w:w="436"/>
        <w:gridCol w:w="109"/>
        <w:gridCol w:w="109"/>
        <w:gridCol w:w="109"/>
        <w:gridCol w:w="2624"/>
        <w:gridCol w:w="2377"/>
        <w:gridCol w:w="3384"/>
      </w:tblGrid>
      <w:tr>
        <w:trPr/>
        <w:tc>
          <w:tcPr>
            <w:tcW w:w="6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the 2028 Unsecured Notes, 2029 Unsecured Notes and 2031 Unsecured Notes, collectively</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models of automatic card shufflers, deck checkers and roulette chip sorters</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Betting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prior line of business that provided sports betting services which enable customers to operate sports books, including betting markets across both fixed-odds and pari-mutual betting styles, a distribution platform, full gaming process support services and brand and player management. This business was divested during the third quarter of 2022 and is included in discontinued operations in our financial statements</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50 states in the U.S. plus the District of Columbia, U.S. Virgin Islands and Puerto Rico</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VGT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gaming terminal</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lottery terminal</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left"/>
        <w:rPr>
          <w:rFonts w:ascii="Times New Roman;sans-serif" w:hAnsi="Times New Roman;sans-serif"/>
          <w:b/>
          <w:color w:val="000000"/>
          <w:sz w:val="18"/>
        </w:rPr>
      </w:pPr>
      <w:r>
        <w:rPr>
          <w:rFonts w:ascii="Times New Roman;sans-serif" w:hAnsi="Times New Roman;sans-serif"/>
          <w:b/>
          <w:color w:val="000000"/>
          <w:sz w:val="18"/>
        </w:rPr>
        <w:t>Intellectual Property Rights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All ® notices signify marks registered in the United States. © 2023 Light &amp; Wonder, Inc. and/or their respective affiliates. All Rights Reserved.</w:t>
      </w:r>
    </w:p>
    <w:p>
      <w:pPr>
        <w:pStyle w:val="TextBody"/>
        <w:bidi w:val="0"/>
        <w:spacing w:lineRule="auto" w:line="26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2023 Hasbro. All Rights Reserved. Licensed by Hasbro.</w:t>
      </w:r>
    </w:p>
    <w:p>
      <w:pPr>
        <w:pStyle w:val="TextBody"/>
        <w:bidi w:val="0"/>
        <w:spacing w:lineRule="auto" w:line="268" w:before="0" w:after="120"/>
        <w:jc w:val="left"/>
        <w:rPr/>
      </w:pPr>
      <w:r>
        <w:rPr/>
        <w:drawing>
          <wp:inline distT="0" distB="0" distL="0" distR="0">
            <wp:extent cx="333375" cy="123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33375" cy="123825"/>
                    </a:xfrm>
                    <a:prstGeom prst="rect">
                      <a:avLst/>
                    </a:prstGeom>
                  </pic:spPr>
                </pic:pic>
              </a:graphicData>
            </a:graphic>
          </wp:inline>
        </w:drawing>
      </w:r>
      <w:r>
        <w:rPr>
          <w:color w:val="000000"/>
        </w:rPr>
        <w:t xml:space="preserve"> </w:t>
      </w:r>
      <w:r>
        <w:rPr>
          <w:rFonts w:ascii="Times New Roman;sans-serif" w:hAnsi="Times New Roman;sans-serif"/>
          <w:b w:val="false"/>
          <w:color w:val="000000"/>
          <w:sz w:val="18"/>
        </w:rPr>
        <w:t xml:space="preserve">and James Bond indicia © 1962-2023 Danjaq, LLC and MGM. </w:t>
      </w:r>
      <w:r>
        <w:rPr/>
        <w:drawing>
          <wp:inline distT="0" distB="0" distL="0" distR="0">
            <wp:extent cx="333375" cy="1238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333375" cy="123825"/>
                    </a:xfrm>
                    <a:prstGeom prst="rect">
                      <a:avLst/>
                    </a:prstGeom>
                  </pic:spPr>
                </pic:pic>
              </a:graphicData>
            </a:graphic>
          </wp:inline>
        </w:drawing>
      </w:r>
      <w:r>
        <w:rPr>
          <w:color w:val="000000"/>
        </w:rPr>
        <w:t xml:space="preserve"> </w:t>
      </w:r>
      <w:r>
        <w:rPr>
          <w:rFonts w:ascii="Times New Roman;sans-serif" w:hAnsi="Times New Roman;sans-serif"/>
          <w:b w:val="false"/>
          <w:color w:val="000000"/>
          <w:sz w:val="18"/>
        </w:rPr>
        <w:t>and all other James Bond related trademarks are trademarks of Danjaq, LLC.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7"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inability to successfully execute our strategy and rebranding initiative;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difficulty predicting what impact, if any, new tariffs imposed by and other trade actions taken by the U.S. and foreign jurisdictions could have on our business;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U.S. and international economic and industry conditions, including increases in benchmark interest rates and the effects of inflation;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public perception of our response to environmental, social and governance issues;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or the elimination of, our share repurchase program;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resulting pricing variations and other impacts of our common stock being listed to trade on more than one stock exchange;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further reduce or refinance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competition;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win, retain or renew, or unfavorable revisions of, existing contracts, and the inability to enter into new contracts;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and uncertainties of potential changes in U.K. gaming legislation, including any new or revised licensing and taxation regimes, responsible gambling requirements and/or sanctions on unlicensed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possibility that we may be unable to achieve expected operational, strategic and financial benefits of the SciPlay Merger (as defined below);</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outcome of any legal proceedings that may be instituted following completion of the SciPlay Merger;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retain key management and employees of SciPlay;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unpredictability and severity of catastrophic events, including but not limited to acts of terrorism, war, armed conflicts or hostilities or the COVID-19 pandemic, the impact such events may have on our customers, suppliers, employees, consultants, business partners or operations, as well as management’s response to any of the aforementioned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demand for our products and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suppliers and manufacturers;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SciPlay’s dependence on certain key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ownership changes and consolidation in the gaming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fluctuations in our results due to seasonality and other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security and integrity of our products and systems, including the impact of any security breaches or cyber-attacks;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or failures in information technology and other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8"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technological blocking systems;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challenges or disruptions relating to the completion of the domestic migration to our enterprise resource planning system;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legislative interpretation and enforcement, regulatory perception and regulatory risks with respect to gaming, especially internet wagering, social gaming and sports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tax laws or tax rulings, or the examination of our tax positions;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opposition to legalized gaming or the expansion thereof and potential restrictions on internet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expectations of shift to regulated digital gaming or sports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continuing evolution of the scope of data privacy and security regulations, and our belief that the adoption of increasingly restrictive regulations in this area is likely within the U.S. and other jurisdictions;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incurrence of restructuring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stock price volatility;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maintain adequate internal control over financial reporting;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key executives;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natural events that disrupt our operations, or those of our customers, suppliers or regulators;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expectations of growth in total consumer spending on social casino gaming.</w:t>
      </w:r>
    </w:p>
    <w:p>
      <w:pPr>
        <w:pStyle w:val="TextBody"/>
        <w:bidi w:val="0"/>
        <w:spacing w:lineRule="auto" w:line="288" w:before="160" w:after="160"/>
        <w:ind w:left="0" w:right="0" w:firstLine="720"/>
        <w:jc w:val="left"/>
        <w:rPr/>
      </w:pPr>
      <w:r>
        <w:rPr>
          <w:rFonts w:ascii="Times New Roman;sans-serif" w:hAnsi="Times New Roman;sans-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of this Quarterly Report on Form 10-Q and </w:t>
      </w:r>
      <w:r>
        <w:rPr>
          <w:rFonts w:ascii="Times New Roman;sans-serif" w:hAnsi="Times New Roman;sans-serif"/>
          <w:b w:val="false"/>
          <w:i/>
          <w:color w:val="000000"/>
          <w:sz w:val="20"/>
        </w:rPr>
        <w:t>Part I, Item 1A</w:t>
      </w:r>
      <w:r>
        <w:rPr>
          <w:color w:val="000000"/>
        </w:rPr>
        <w:t xml:space="preserve"> </w:t>
      </w:r>
      <w:r>
        <w:rPr>
          <w:rFonts w:ascii="Times New Roman;sans-serif" w:hAnsi="Times New Roman;sans-serif"/>
          <w:b w:val="false"/>
          <w:color w:val="000000"/>
          <w:sz w:val="20"/>
        </w:rPr>
        <w:t>in our 2022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rounding, certain numbers presented herein may not precisely recalculate.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9"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631"/>
        <w:gridCol w:w="1353"/>
        <w:gridCol w:w="1313"/>
        <w:gridCol w:w="291"/>
        <w:gridCol w:w="706"/>
        <w:gridCol w:w="149"/>
        <w:gridCol w:w="149"/>
        <w:gridCol w:w="149"/>
        <w:gridCol w:w="149"/>
        <w:gridCol w:w="291"/>
        <w:gridCol w:w="706"/>
        <w:gridCol w:w="149"/>
        <w:gridCol w:w="116"/>
        <w:gridCol w:w="116"/>
        <w:gridCol w:w="116"/>
        <w:gridCol w:w="264"/>
        <w:gridCol w:w="772"/>
        <w:gridCol w:w="136"/>
        <w:gridCol w:w="136"/>
        <w:gridCol w:w="136"/>
        <w:gridCol w:w="136"/>
        <w:gridCol w:w="264"/>
        <w:gridCol w:w="772"/>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services</w:t>
            </w:r>
            <w:r>
              <w:rPr>
                <w:rFonts w:ascii="Times New Roman;sans-serif" w:hAnsi="Times New Roman;sans-serif"/>
                <w:b w:val="false"/>
                <w:color w:val="000000"/>
                <w:sz w:val="13"/>
              </w:rPr>
              <w:t>(1)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products</w:t>
            </w:r>
            <w:r>
              <w:rPr>
                <w:rFonts w:ascii="Times New Roman;sans-serif" w:hAnsi="Times New Roman;sans-serif"/>
                <w:b w:val="false"/>
                <w:color w:val="000000"/>
                <w:sz w:val="13"/>
              </w:rPr>
              <w:t>(1)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before income taxes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 from discontinued operations, net of tax</w:t>
            </w:r>
            <w:r>
              <w:rPr>
                <w:rFonts w:ascii="Times New Roman;sans-serif" w:hAnsi="Times New Roman;sans-serif"/>
                <w:b w:val="false"/>
                <w:color w:val="000000"/>
                <w:sz w:val="13"/>
              </w:rPr>
              <w:t>(2)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L&amp;W</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 Basic:</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L&amp;W</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 Diluted: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L&amp;W</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per share calculations: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Excludes depreciation, amortization, and impairments.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(2) The three and nine months ended September 30, 2022 include a pre-tax gain of $362 million and $4,930 million, respectively, on the sale of discontinued operations </w:t>
            </w:r>
            <w:r>
              <w:rPr>
                <w:rFonts w:ascii="Times New Roman;sans-serif" w:hAnsi="Times New Roman;sans-serif"/>
                <w:b w:val="false"/>
                <w:color w:val="000000"/>
                <w:sz w:val="16"/>
                <w:shd w:fill="FFFFFF" w:val="clear"/>
              </w:rPr>
              <w:t>(see Note 2).</w:t>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5908" w:type="dxa"/>
            <w:gridSpan w:val="21"/>
            <w:tcBorders/>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0"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665"/>
        <w:gridCol w:w="1451"/>
        <w:gridCol w:w="1465"/>
        <w:gridCol w:w="309"/>
        <w:gridCol w:w="529"/>
        <w:gridCol w:w="159"/>
        <w:gridCol w:w="159"/>
        <w:gridCol w:w="159"/>
        <w:gridCol w:w="159"/>
        <w:gridCol w:w="309"/>
        <w:gridCol w:w="683"/>
        <w:gridCol w:w="159"/>
        <w:gridCol w:w="109"/>
        <w:gridCol w:w="109"/>
        <w:gridCol w:w="109"/>
        <w:gridCol w:w="268"/>
        <w:gridCol w:w="593"/>
        <w:gridCol w:w="138"/>
        <w:gridCol w:w="138"/>
        <w:gridCol w:w="138"/>
        <w:gridCol w:w="138"/>
        <w:gridCol w:w="268"/>
        <w:gridCol w:w="785"/>
        <w:gridCol w:w="206"/>
      </w:tblGrid>
      <w:tr>
        <w:trPr/>
        <w:tc>
          <w:tcPr>
            <w:tcW w:w="166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net of tax</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unrealized gain, net of tax</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from continuing operations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from discontinued operations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L&amp;W</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5624" w:type="dxa"/>
            <w:gridSpan w:val="21"/>
            <w:tcBorders/>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1"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par value)</w:t>
      </w:r>
    </w:p>
    <w:tbl>
      <w:tblPr>
        <w:tblW w:w="10205" w:type="dxa"/>
        <w:jc w:val="center"/>
        <w:tblInd w:w="0" w:type="dxa"/>
        <w:tblLayout w:type="fixed"/>
        <w:tblCellMar>
          <w:top w:w="28" w:type="dxa"/>
          <w:left w:w="28" w:type="dxa"/>
          <w:bottom w:w="28" w:type="dxa"/>
          <w:right w:w="28" w:type="dxa"/>
        </w:tblCellMar>
      </w:tblPr>
      <w:tblGrid>
        <w:gridCol w:w="2915"/>
        <w:gridCol w:w="2208"/>
        <w:gridCol w:w="2185"/>
        <w:gridCol w:w="287"/>
        <w:gridCol w:w="840"/>
        <w:gridCol w:w="148"/>
        <w:gridCol w:w="109"/>
        <w:gridCol w:w="109"/>
        <w:gridCol w:w="109"/>
        <w:gridCol w:w="277"/>
        <w:gridCol w:w="811"/>
        <w:gridCol w:w="207"/>
      </w:tblGrid>
      <w:tr>
        <w:trPr/>
        <w:tc>
          <w:tcPr>
            <w:tcW w:w="291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$40 and $38,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deposits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$1 and $2,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199 shares authorized; 116 and 115 shares issued, respectively, and 90 and 91 shares outstanding,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26 and 24 shares, respectively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L&amp;W stockholders’ equity </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2"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884"/>
        <w:gridCol w:w="2393"/>
        <w:gridCol w:w="2400"/>
        <w:gridCol w:w="254"/>
        <w:gridCol w:w="562"/>
        <w:gridCol w:w="131"/>
        <w:gridCol w:w="131"/>
        <w:gridCol w:w="131"/>
        <w:gridCol w:w="131"/>
        <w:gridCol w:w="254"/>
        <w:gridCol w:w="743"/>
        <w:gridCol w:w="191"/>
      </w:tblGrid>
      <w:tr>
        <w:trPr/>
        <w:tc>
          <w:tcPr>
            <w:tcW w:w="2884"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discontinued operations, net of tax</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from continuing operations to net cash provided by (used in) operating activities from continuing operations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 and other</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from continuing operations</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discontinued operations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investing activities: </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net of cash acquired</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settlement of cross-currency interest rate swaps and other</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(used in) provided by investing activities from discontinued operations</w:t>
            </w:r>
            <w:r>
              <w:rPr>
                <w:rFonts w:ascii="Times New Roman;sans-serif" w:hAnsi="Times New Roman;sans-serif"/>
                <w:b w:val="false"/>
                <w:color w:val="000000"/>
                <w:sz w:val="13"/>
              </w:rPr>
              <w:t>(1)</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financing activities: </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facilities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credit facilities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 and term loans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and term loans (including redemption premium)</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on long-term debt </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and deferred financing costs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license obligations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L&amp;W common stock</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redemptions of common stock under stock-based compensation plans and other</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discontinued operations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cash equivalents and restricted cash of discontinued operations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of continuing operations, end of period</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w:t>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paid </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earnings from equity investments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contingent consideration included in operating activities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transactions: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securities received in sale of discontinued operations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nine months ended September 30, 2022 include $6,409 million in gross cash proceeds from the sale of discontinued operations, net of cash, cash equivalents and restricted cash transferred.</w:t>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3"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USD, table amounts in millions, except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 Description of the Business and Summary of Significant Accounting Policies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w:t>
      </w:r>
      <w:r>
        <w:rPr>
          <w:color w:val="000000"/>
          <w:shd w:fill="FFFFFF" w:val="clear"/>
        </w:rPr>
        <w:t xml:space="preserve"> </w:t>
      </w:r>
      <w:r>
        <w:rPr>
          <w:rFonts w:ascii="Times New Roman;sans-serif" w:hAnsi="Times New Roman;sans-serif"/>
          <w:b w:val="false"/>
          <w:color w:val="000000"/>
          <w:sz w:val="20"/>
          <w:shd w:fill="FFFFFF" w:val="clear"/>
        </w:rPr>
        <w:t>We report our results of operations in three business segments—Gaming, SciPlay and iGaming—representing our different products and services.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under the ticker symbol “LNW.” Our common stock is also listed as CDIs on the ASX and commenced active trading on May 22, 2023 (AEST) under the ticker symbol “LNW.”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2023, we acquired the remaining approximately 17% equity interest in SciPlay not already owned by us pursuant to a merger (the “SciPlay Merger”) in an all-cash transaction of $496 million, excluding transaction fees and expenses. As a result of the SciPlay Merger, SciPlay ceased to be publicly traded and became a wholly owned subsidiary of L&amp;W. Upon completion of the SciPlay Merger, the SciPlay Revolver was terminated. There were no borrowings outstanding under the SciPlay Revolver at the time of termination.</w:t>
      </w:r>
    </w:p>
    <w:p>
      <w:pPr>
        <w:pStyle w:val="TextBody"/>
        <w:bidi w:val="0"/>
        <w:spacing w:lineRule="auto" w:line="288" w:before="0" w:after="160"/>
        <w:ind w:left="0" w:right="0" w:firstLine="720"/>
        <w:jc w:val="left"/>
        <w:rPr/>
      </w:pPr>
      <w:r>
        <w:rPr>
          <w:rFonts w:ascii="Times New Roman;sans-serif" w:hAnsi="Times New Roman;sans-serif"/>
          <w:b w:val="false"/>
          <w:color w:val="000000"/>
          <w:sz w:val="20"/>
          <w:shd w:fill="FFFFFF" w:val="clear"/>
        </w:rPr>
        <w:t>We completed the sales of our former Lottery Business and Sports Betting Business during the second and third quarters of 2022, respectively. We have reflected the prior period financial results of these Divested Businesses as discontinued operations in our consolidated statements of operations. Refer to Note 2 for further information.</w:t>
      </w:r>
      <w:r>
        <w:rPr>
          <w:color w:val="000000"/>
        </w:rPr>
        <w:t xml:space="preserve"> </w:t>
      </w:r>
      <w:r>
        <w:rPr>
          <w:rFonts w:ascii="Times New Roman;sans-serif" w:hAnsi="Times New Roman;sans-serif"/>
          <w:b w:val="false"/>
          <w:color w:val="000000"/>
          <w:sz w:val="20"/>
          <w:shd w:fill="FFFFFF" w:val="clear"/>
        </w:rPr>
        <w:t>Unless otherwise noted, amounts and disclosures included herein relate to our continuing operations.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L&amp;W and its management, we have made all adjustments necessary to present fairly our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2022 10-K. Interim results of operations are not necessarily indicative of results of operations to be expected for a full year.</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significant accounting policies described within the Notes of our 2022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includes gains and losses from foreign currency transactions, interest income, earnings (losses) from equity investments and other items. Other income, net for the three and nine months ended September 30, 2023 primarily consisted of a gain of $30 million and a loss of $9 million, respectively, related to foreign currency transactions as well as $10 million and $28 million, respectively, in interest income. Foreign currency transaction gains and losses as well as interest income were not material for the three and nine months ended September 30, 2022.</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Computation of Basic and Diluted Net Income Attributable to L&amp;W Per Share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attributable to L&amp;W per share are based upon net income attributable to L&amp;W divided by the weighted average number of common shares outstanding during the period. Diluted net income attributable to L&amp;W per share reflects the effect of the assumed exercise of stock options and RSUs only in the periods in which such effect would have been dilutive to net income from continuing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we included 1 million and 2 million, respectively, of common stock equivalents in the calculation of diluted net income attributable to L&amp;W per share, and for the three months ended September 30, 2022, we included 2 million of common stock equivalents in the calculation of diluted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4"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attributable to L&amp;W per share. Basic and diluted net income attributable to L&amp;W per share were the same for the nine months ended September 30, 2022, as all common stock equivalents would have been anti-dilutive for that period. We excluded 2 million of stock options and 2 million of RSUs outstanding from the calculation of diluted weighted-average common shares outstanding for the nine months ended September 30, 2022.</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or changes in accounting pronouncements since those described within the Notes of our 2022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the Divestitures in 2022 and reflected the prior period financial results of the Divested Businesses as discontinued operations in our consolidated statements of operations. For the sale of our former Lottery Business completed during the second quarter of 2022, we received $5.7 billion in gross cash proceeds and recorded a pre-tax gain of $4.6 billion. For the sale of our former Sports Betting Business completed during the third quarter of 2022, we received $796 million in gross proceeds and recorded a pre-tax gain of $362 million. The summarized results of our discontinued operations were as follows:</w:t>
      </w:r>
    </w:p>
    <w:tbl>
      <w:tblPr>
        <w:tblW w:w="10205" w:type="dxa"/>
        <w:jc w:val="center"/>
        <w:tblInd w:w="0" w:type="dxa"/>
        <w:tblLayout w:type="fixed"/>
        <w:tblCellMar>
          <w:top w:w="28" w:type="dxa"/>
          <w:left w:w="28" w:type="dxa"/>
          <w:bottom w:w="28" w:type="dxa"/>
          <w:right w:w="28" w:type="dxa"/>
        </w:tblCellMar>
      </w:tblPr>
      <w:tblGrid>
        <w:gridCol w:w="2466"/>
        <w:gridCol w:w="1964"/>
        <w:gridCol w:w="1975"/>
        <w:gridCol w:w="132"/>
        <w:gridCol w:w="132"/>
        <w:gridCol w:w="448"/>
        <w:gridCol w:w="993"/>
        <w:gridCol w:w="236"/>
        <w:gridCol w:w="109"/>
        <w:gridCol w:w="109"/>
        <w:gridCol w:w="109"/>
        <w:gridCol w:w="109"/>
        <w:gridCol w:w="109"/>
        <w:gridCol w:w="281"/>
        <w:gridCol w:w="823"/>
        <w:gridCol w:w="210"/>
      </w:tblGrid>
      <w:tr>
        <w:trPr/>
        <w:tc>
          <w:tcPr>
            <w:tcW w:w="246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 2022</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expenses</w:t>
            </w:r>
            <w:r>
              <w:rPr>
                <w:rFonts w:ascii="Times New Roman;sans-serif" w:hAnsi="Times New Roman;sans-serif"/>
                <w:b w:val="false"/>
                <w:color w:val="000000"/>
                <w:sz w:val="13"/>
              </w:rPr>
              <w:t>(1)</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before income taxes</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discontinued operations before income taxes</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income from discontinued operations before income taxes</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 net of tax included in the consolidated statement of operations</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800" w:type="dxa"/>
            <w:gridSpan w:val="13"/>
            <w:tcBorders/>
          </w:tcPr>
          <w:p>
            <w:pPr>
              <w:pStyle w:val="TableContents"/>
              <w:bidi w:val="0"/>
              <w:spacing w:before="0" w:after="283"/>
              <w:jc w:val="left"/>
              <w:rPr>
                <w:sz w:val="4"/>
                <w:szCs w:val="4"/>
              </w:rPr>
            </w:pPr>
            <w:r>
              <w:rPr>
                <w:sz w:val="4"/>
                <w:szCs w:val="4"/>
              </w:rPr>
            </w:r>
          </w:p>
        </w:tc>
      </w:tr>
      <w:tr>
        <w:trPr/>
        <w:tc>
          <w:tcPr>
            <w:tcW w:w="8346" w:type="dxa"/>
            <w:gridSpan w:val="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three and nine months ended September 30, 2022 include stock-based compensation of $7 million and $18 million, respectively, and $7 million and $85 million, respectively, related to direct transaction closing fees.</w:t>
            </w:r>
          </w:p>
        </w:tc>
        <w:tc>
          <w:tcPr>
            <w:tcW w:w="1859" w:type="dxa"/>
            <w:gridSpan w:val="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revenues by type within each of our business segments:</w:t>
      </w:r>
    </w:p>
    <w:tbl>
      <w:tblPr>
        <w:tblW w:w="8945" w:type="dxa"/>
        <w:jc w:val="center"/>
        <w:tblInd w:w="0" w:type="dxa"/>
        <w:tblLayout w:type="fixed"/>
        <w:tblCellMar>
          <w:top w:w="28" w:type="dxa"/>
          <w:left w:w="28" w:type="dxa"/>
          <w:bottom w:w="28" w:type="dxa"/>
          <w:right w:w="28" w:type="dxa"/>
        </w:tblCellMar>
      </w:tblPr>
      <w:tblGrid>
        <w:gridCol w:w="1041"/>
        <w:gridCol w:w="915"/>
        <w:gridCol w:w="923"/>
        <w:gridCol w:w="321"/>
        <w:gridCol w:w="710"/>
        <w:gridCol w:w="166"/>
        <w:gridCol w:w="166"/>
        <w:gridCol w:w="166"/>
        <w:gridCol w:w="166"/>
        <w:gridCol w:w="321"/>
        <w:gridCol w:w="710"/>
        <w:gridCol w:w="166"/>
        <w:gridCol w:w="109"/>
        <w:gridCol w:w="109"/>
        <w:gridCol w:w="109"/>
        <w:gridCol w:w="268"/>
        <w:gridCol w:w="782"/>
        <w:gridCol w:w="138"/>
        <w:gridCol w:w="138"/>
        <w:gridCol w:w="138"/>
        <w:gridCol w:w="138"/>
        <w:gridCol w:w="268"/>
        <w:gridCol w:w="782"/>
        <w:gridCol w:w="195"/>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systems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SciPlay</w:t>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in-app purchases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Web in-app purchases and other</w:t>
            </w:r>
            <w:r>
              <w:rPr>
                <w:rFonts w:ascii="Times New Roman;sans-serif" w:hAnsi="Times New Roman;sans-serif"/>
                <w:b w:val="false"/>
                <w:color w:val="000000"/>
                <w:sz w:val="13"/>
              </w:rPr>
              <w:t>(1)</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iGaming</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in the periods presented.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5"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rental income revenue that is outside the scope of ASC 606 was $127 million and $367 million for the three and nine months ended September 30, 2023, respectively, and $116 million and $347 million for the three and nine months ended September 30, 2022,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contract liabilities for the reporting period:</w:t>
      </w:r>
    </w:p>
    <w:tbl>
      <w:tblPr>
        <w:tblW w:w="10205" w:type="dxa"/>
        <w:jc w:val="center"/>
        <w:tblInd w:w="0" w:type="dxa"/>
        <w:tblLayout w:type="fixed"/>
        <w:tblCellMar>
          <w:top w:w="28" w:type="dxa"/>
          <w:left w:w="28" w:type="dxa"/>
          <w:bottom w:w="28" w:type="dxa"/>
          <w:right w:w="28" w:type="dxa"/>
        </w:tblCellMar>
      </w:tblPr>
      <w:tblGrid>
        <w:gridCol w:w="2573"/>
        <w:gridCol w:w="2226"/>
        <w:gridCol w:w="2235"/>
        <w:gridCol w:w="181"/>
        <w:gridCol w:w="109"/>
        <w:gridCol w:w="109"/>
        <w:gridCol w:w="803"/>
        <w:gridCol w:w="1376"/>
        <w:gridCol w:w="593"/>
      </w:tblGrid>
      <w:tr>
        <w:trPr/>
        <w:tc>
          <w:tcPr>
            <w:tcW w:w="257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beginning of period</w:t>
            </w:r>
            <w:r>
              <w:rPr>
                <w:rFonts w:ascii="Times New Roman;sans-serif" w:hAnsi="Times New Roman;sans-serif"/>
                <w:b w:val="false"/>
                <w:color w:val="000000"/>
                <w:sz w:val="13"/>
              </w:rPr>
              <w:t>(1)</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recognized during the period</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revenue from beginning balance</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end of period</w:t>
            </w:r>
            <w:r>
              <w:rPr>
                <w:rFonts w:ascii="Times New Roman;sans-serif" w:hAnsi="Times New Roman;sans-serif"/>
                <w:b w:val="false"/>
                <w:color w:val="000000"/>
                <w:sz w:val="13"/>
              </w:rPr>
              <w:t>(1)</w:t>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Contract liabilities are included within Accrued liabilities and Other long-term liabilities in our consolidated balance sheets.</w:t>
            </w:r>
          </w:p>
        </w:tc>
        <w:tc>
          <w:tcPr>
            <w:tcW w:w="2990" w:type="dxa"/>
            <w:gridSpan w:val="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tbl>
      <w:tblPr>
        <w:tblW w:w="9475" w:type="dxa"/>
        <w:jc w:val="center"/>
        <w:tblInd w:w="0" w:type="dxa"/>
        <w:tblLayout w:type="fixed"/>
        <w:tblCellMar>
          <w:top w:w="28" w:type="dxa"/>
          <w:left w:w="28" w:type="dxa"/>
          <w:bottom w:w="28" w:type="dxa"/>
          <w:right w:w="28" w:type="dxa"/>
        </w:tblCellMar>
      </w:tblPr>
      <w:tblGrid>
        <w:gridCol w:w="1922"/>
        <w:gridCol w:w="1685"/>
        <w:gridCol w:w="1696"/>
        <w:gridCol w:w="390"/>
        <w:gridCol w:w="861"/>
        <w:gridCol w:w="202"/>
        <w:gridCol w:w="159"/>
        <w:gridCol w:w="159"/>
        <w:gridCol w:w="159"/>
        <w:gridCol w:w="651"/>
        <w:gridCol w:w="1115"/>
        <w:gridCol w:w="476"/>
      </w:tblGrid>
      <w:tr>
        <w:trPr/>
        <w:tc>
          <w:tcPr>
            <w:tcW w:w="192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Receivables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Contract Assets</w:t>
            </w:r>
            <w:r>
              <w:rPr>
                <w:rFonts w:ascii="Times New Roman;sans-serif" w:hAnsi="Times New Roman;sans-serif"/>
                <w:b/>
                <w:color w:val="000000"/>
                <w:sz w:val="12"/>
              </w:rPr>
              <w:t>(1)</w:t>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 balance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 balance, September 30, 2023</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5303"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947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5"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did not have material unsatisfied performance obligations for contracts expected to be long-term or contracts for which we recognize revenue at an amount other than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(4) Business Segments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2022 10-K.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financial performance, our Chief Operating Decision Maker focuses on AEBITDA as management’s primary segment measure of profit or loss, which is described in footnote (2) to the below table. The accounting policies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6"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business segments are the same as those described within the Notes in our 2022 10-K. The following tables present our segment information:</w:t>
      </w:r>
    </w:p>
    <w:tbl>
      <w:tblPr>
        <w:tblW w:w="10205" w:type="dxa"/>
        <w:jc w:val="center"/>
        <w:tblInd w:w="0" w:type="dxa"/>
        <w:tblLayout w:type="fixed"/>
        <w:tblCellMar>
          <w:top w:w="28" w:type="dxa"/>
          <w:left w:w="28" w:type="dxa"/>
          <w:bottom w:w="28" w:type="dxa"/>
          <w:right w:w="28" w:type="dxa"/>
        </w:tblCellMar>
      </w:tblPr>
      <w:tblGrid>
        <w:gridCol w:w="1013"/>
        <w:gridCol w:w="866"/>
        <w:gridCol w:w="858"/>
        <w:gridCol w:w="263"/>
        <w:gridCol w:w="582"/>
        <w:gridCol w:w="136"/>
        <w:gridCol w:w="136"/>
        <w:gridCol w:w="136"/>
        <w:gridCol w:w="136"/>
        <w:gridCol w:w="263"/>
        <w:gridCol w:w="582"/>
        <w:gridCol w:w="136"/>
        <w:gridCol w:w="136"/>
        <w:gridCol w:w="136"/>
        <w:gridCol w:w="136"/>
        <w:gridCol w:w="296"/>
        <w:gridCol w:w="507"/>
        <w:gridCol w:w="153"/>
        <w:gridCol w:w="136"/>
        <w:gridCol w:w="136"/>
        <w:gridCol w:w="136"/>
        <w:gridCol w:w="542"/>
        <w:gridCol w:w="1044"/>
        <w:gridCol w:w="283"/>
        <w:gridCol w:w="136"/>
        <w:gridCol w:w="136"/>
        <w:gridCol w:w="136"/>
        <w:gridCol w:w="263"/>
        <w:gridCol w:w="582"/>
        <w:gridCol w:w="204"/>
      </w:tblGrid>
      <w:tr>
        <w:trPr/>
        <w:tc>
          <w:tcPr>
            <w:tcW w:w="101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from continuing operations before income taxes:</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before income taxes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income from continuing operations before income taxes.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reconciled to net income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loss on debt financing transactions; (5) change in fair value of investments and remeasurement of debt and other; (6) other (expense) income, net, including foreign currency gains or losses and earnings from equity investments; and (7) stock-based compensation. AEBITDA is presented as our primary segment measure of profit or loss.</w:t>
            </w:r>
          </w:p>
        </w:tc>
      </w:tr>
    </w:tbl>
    <w:tbl>
      <w:tblPr>
        <w:tblW w:w="10205" w:type="dxa"/>
        <w:jc w:val="center"/>
        <w:tblInd w:w="0" w:type="dxa"/>
        <w:tblLayout w:type="fixed"/>
        <w:tblCellMar>
          <w:top w:w="28" w:type="dxa"/>
          <w:left w:w="28" w:type="dxa"/>
          <w:bottom w:w="28" w:type="dxa"/>
          <w:right w:w="28" w:type="dxa"/>
        </w:tblCellMar>
      </w:tblPr>
      <w:tblGrid>
        <w:gridCol w:w="1127"/>
        <w:gridCol w:w="973"/>
        <w:gridCol w:w="969"/>
        <w:gridCol w:w="237"/>
        <w:gridCol w:w="524"/>
        <w:gridCol w:w="122"/>
        <w:gridCol w:w="122"/>
        <w:gridCol w:w="122"/>
        <w:gridCol w:w="122"/>
        <w:gridCol w:w="122"/>
        <w:gridCol w:w="122"/>
        <w:gridCol w:w="237"/>
        <w:gridCol w:w="524"/>
        <w:gridCol w:w="122"/>
        <w:gridCol w:w="122"/>
        <w:gridCol w:w="122"/>
        <w:gridCol w:w="122"/>
        <w:gridCol w:w="266"/>
        <w:gridCol w:w="457"/>
        <w:gridCol w:w="138"/>
        <w:gridCol w:w="122"/>
        <w:gridCol w:w="122"/>
        <w:gridCol w:w="122"/>
        <w:gridCol w:w="578"/>
        <w:gridCol w:w="1113"/>
        <w:gridCol w:w="302"/>
        <w:gridCol w:w="109"/>
        <w:gridCol w:w="109"/>
        <w:gridCol w:w="109"/>
        <w:gridCol w:w="211"/>
        <w:gridCol w:w="466"/>
        <w:gridCol w:w="170"/>
      </w:tblGrid>
      <w:tr>
        <w:trPr/>
        <w:tc>
          <w:tcPr>
            <w:tcW w:w="112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1174"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1"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from continuing operations before income taxes:</w:t>
            </w:r>
          </w:p>
        </w:tc>
        <w:tc>
          <w:tcPr>
            <w:tcW w:w="1174" w:type="dxa"/>
            <w:gridSpan w:val="6"/>
            <w:tcBorders/>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before income taxes</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1"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income from continuing operations before income taxes.</w:t>
            </w:r>
          </w:p>
        </w:tc>
        <w:tc>
          <w:tcPr>
            <w:tcW w:w="1174" w:type="dxa"/>
            <w:gridSpan w:val="6"/>
            <w:tcBorders/>
          </w:tcPr>
          <w:p>
            <w:pPr>
              <w:pStyle w:val="TableContents"/>
              <w:bidi w:val="0"/>
              <w:spacing w:before="0" w:after="283"/>
              <w:jc w:val="left"/>
              <w:rPr>
                <w:sz w:val="4"/>
                <w:szCs w:val="4"/>
              </w:rPr>
            </w:pPr>
            <w:r>
              <w:rPr>
                <w:sz w:val="4"/>
                <w:szCs w:val="4"/>
              </w:rPr>
            </w:r>
          </w:p>
        </w:tc>
      </w:tr>
      <w:tr>
        <w:trPr/>
        <w:tc>
          <w:tcPr>
            <w:tcW w:w="9031"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174"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7"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2"/>
        <w:gridCol w:w="915"/>
        <w:gridCol w:w="910"/>
        <w:gridCol w:w="233"/>
        <w:gridCol w:w="683"/>
        <w:gridCol w:w="120"/>
        <w:gridCol w:w="120"/>
        <w:gridCol w:w="120"/>
        <w:gridCol w:w="120"/>
        <w:gridCol w:w="120"/>
        <w:gridCol w:w="120"/>
        <w:gridCol w:w="233"/>
        <w:gridCol w:w="517"/>
        <w:gridCol w:w="120"/>
        <w:gridCol w:w="120"/>
        <w:gridCol w:w="120"/>
        <w:gridCol w:w="120"/>
        <w:gridCol w:w="233"/>
        <w:gridCol w:w="517"/>
        <w:gridCol w:w="120"/>
        <w:gridCol w:w="120"/>
        <w:gridCol w:w="120"/>
        <w:gridCol w:w="120"/>
        <w:gridCol w:w="549"/>
        <w:gridCol w:w="1058"/>
        <w:gridCol w:w="287"/>
        <w:gridCol w:w="109"/>
        <w:gridCol w:w="109"/>
        <w:gridCol w:w="109"/>
        <w:gridCol w:w="211"/>
        <w:gridCol w:w="616"/>
        <w:gridCol w:w="174"/>
      </w:tblGrid>
      <w:tr>
        <w:trPr/>
        <w:tc>
          <w:tcPr>
            <w:tcW w:w="10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1328" w:type="dxa"/>
            <w:gridSpan w:val="6"/>
            <w:tcBorders/>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7"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from continuing operations before income taxes:</w:t>
            </w:r>
          </w:p>
        </w:tc>
        <w:tc>
          <w:tcPr>
            <w:tcW w:w="1328" w:type="dxa"/>
            <w:gridSpan w:val="6"/>
            <w:tcBorders/>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before income taxes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7"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income from continuing operations before income taxes.</w:t>
            </w:r>
          </w:p>
        </w:tc>
        <w:tc>
          <w:tcPr>
            <w:tcW w:w="1328" w:type="dxa"/>
            <w:gridSpan w:val="6"/>
            <w:tcBorders/>
          </w:tcPr>
          <w:p>
            <w:pPr>
              <w:pStyle w:val="TableContents"/>
              <w:bidi w:val="0"/>
              <w:spacing w:before="0" w:after="283"/>
              <w:jc w:val="left"/>
              <w:rPr>
                <w:sz w:val="4"/>
                <w:szCs w:val="4"/>
              </w:rPr>
            </w:pPr>
            <w:r>
              <w:rPr>
                <w:sz w:val="4"/>
                <w:szCs w:val="4"/>
              </w:rPr>
            </w:r>
          </w:p>
        </w:tc>
      </w:tr>
      <w:tr>
        <w:trPr/>
        <w:tc>
          <w:tcPr>
            <w:tcW w:w="8877"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328"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4"/>
        <w:gridCol w:w="888"/>
        <w:gridCol w:w="883"/>
        <w:gridCol w:w="235"/>
        <w:gridCol w:w="686"/>
        <w:gridCol w:w="121"/>
        <w:gridCol w:w="121"/>
        <w:gridCol w:w="121"/>
        <w:gridCol w:w="121"/>
        <w:gridCol w:w="121"/>
        <w:gridCol w:w="121"/>
        <w:gridCol w:w="235"/>
        <w:gridCol w:w="519"/>
        <w:gridCol w:w="121"/>
        <w:gridCol w:w="121"/>
        <w:gridCol w:w="121"/>
        <w:gridCol w:w="121"/>
        <w:gridCol w:w="235"/>
        <w:gridCol w:w="519"/>
        <w:gridCol w:w="121"/>
        <w:gridCol w:w="121"/>
        <w:gridCol w:w="121"/>
        <w:gridCol w:w="121"/>
        <w:gridCol w:w="554"/>
        <w:gridCol w:w="1068"/>
        <w:gridCol w:w="290"/>
        <w:gridCol w:w="109"/>
        <w:gridCol w:w="109"/>
        <w:gridCol w:w="109"/>
        <w:gridCol w:w="211"/>
        <w:gridCol w:w="616"/>
        <w:gridCol w:w="161"/>
      </w:tblGrid>
      <w:tr>
        <w:trPr/>
        <w:tc>
          <w:tcPr>
            <w:tcW w:w="10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2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c>
          <w:tcPr>
            <w:tcW w:w="1315" w:type="dxa"/>
            <w:gridSpan w:val="6"/>
            <w:tcBorders/>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0"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loss from continuing operations before income taxes:</w:t>
            </w:r>
          </w:p>
        </w:tc>
        <w:tc>
          <w:tcPr>
            <w:tcW w:w="1315" w:type="dxa"/>
            <w:gridSpan w:val="6"/>
            <w:tcBorders/>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financing transactions </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before income taxes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890" w:type="dxa"/>
            <w:gridSpan w:val="2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6"/>
            <w:tcBorders/>
          </w:tcPr>
          <w:p>
            <w:pPr>
              <w:pStyle w:val="TableContents"/>
              <w:bidi w:val="0"/>
              <w:spacing w:before="0" w:after="283"/>
              <w:jc w:val="left"/>
              <w:rPr>
                <w:sz w:val="4"/>
                <w:szCs w:val="4"/>
              </w:rPr>
            </w:pPr>
            <w:r>
              <w:rPr>
                <w:sz w:val="4"/>
                <w:szCs w:val="4"/>
              </w:rPr>
            </w:r>
          </w:p>
        </w:tc>
      </w:tr>
      <w:tr>
        <w:trPr/>
        <w:tc>
          <w:tcPr>
            <w:tcW w:w="8890"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loss from continuing operations before income taxes.</w:t>
            </w:r>
          </w:p>
        </w:tc>
        <w:tc>
          <w:tcPr>
            <w:tcW w:w="1315" w:type="dxa"/>
            <w:gridSpan w:val="6"/>
            <w:tcBorders/>
          </w:tcPr>
          <w:p>
            <w:pPr>
              <w:pStyle w:val="TableContents"/>
              <w:bidi w:val="0"/>
              <w:spacing w:before="0" w:after="283"/>
              <w:jc w:val="left"/>
              <w:rPr>
                <w:sz w:val="4"/>
                <w:szCs w:val="4"/>
              </w:rPr>
            </w:pPr>
            <w:r>
              <w:rPr>
                <w:sz w:val="4"/>
                <w:szCs w:val="4"/>
              </w:rPr>
            </w:r>
          </w:p>
        </w:tc>
      </w:tr>
      <w:tr>
        <w:trPr/>
        <w:tc>
          <w:tcPr>
            <w:tcW w:w="8890"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315"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(5) 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includes charges or expenses attributable to: (i) employee severance; (ii) management restructuring and related costs; (iii) restructuring and integration; (iv) cost savings initiatives; (v) major litigation; and (vi)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8"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disposition-related costs and other unusual items. The following table summarizes pre-tax restructuring and other costs for the periods presented:</w:t>
      </w:r>
    </w:p>
    <w:tbl>
      <w:tblPr>
        <w:tblW w:w="10205" w:type="dxa"/>
        <w:jc w:val="center"/>
        <w:tblInd w:w="0" w:type="dxa"/>
        <w:tblLayout w:type="fixed"/>
        <w:tblCellMar>
          <w:top w:w="28" w:type="dxa"/>
          <w:left w:w="28" w:type="dxa"/>
          <w:bottom w:w="28" w:type="dxa"/>
          <w:right w:w="28" w:type="dxa"/>
        </w:tblCellMar>
      </w:tblPr>
      <w:tblGrid>
        <w:gridCol w:w="1310"/>
        <w:gridCol w:w="1122"/>
        <w:gridCol w:w="1130"/>
        <w:gridCol w:w="393"/>
        <w:gridCol w:w="674"/>
        <w:gridCol w:w="202"/>
        <w:gridCol w:w="202"/>
        <w:gridCol w:w="202"/>
        <w:gridCol w:w="202"/>
        <w:gridCol w:w="393"/>
        <w:gridCol w:w="674"/>
        <w:gridCol w:w="202"/>
        <w:gridCol w:w="123"/>
        <w:gridCol w:w="123"/>
        <w:gridCol w:w="123"/>
        <w:gridCol w:w="358"/>
        <w:gridCol w:w="613"/>
        <w:gridCol w:w="184"/>
        <w:gridCol w:w="184"/>
        <w:gridCol w:w="184"/>
        <w:gridCol w:w="184"/>
        <w:gridCol w:w="358"/>
        <w:gridCol w:w="792"/>
        <w:gridCol w:w="273"/>
      </w:tblGrid>
      <w:tr>
        <w:trPr/>
        <w:tc>
          <w:tcPr>
            <w:tcW w:w="131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related</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Strategic review and related</w:t>
            </w:r>
            <w:r>
              <w:rPr>
                <w:rFonts w:ascii="Times New Roman;sans-serif" w:hAnsi="Times New Roman;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Contingent acquisition consideration</w:t>
            </w:r>
            <w:r>
              <w:rPr>
                <w:rFonts w:ascii="Times New Roman;sans-serif" w:hAnsi="Times New Roman;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integration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6643" w:type="dxa"/>
            <w:gridSpan w:val="21"/>
            <w:tcBorders/>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6643"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costs associated with the SciPlay Merger, ASX listing, Divestitures (including ongoing separation activities), rebranding and related activities.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Represents contingent consideration fair value adjustment (see Note 12).</w:t>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6643" w:type="dxa"/>
            <w:gridSpan w:val="21"/>
            <w:tcBorders/>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6643"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Receivables, Allowance for Credit Losses and Credit Quality of Receivables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current and long-term receivables, net:</w:t>
      </w:r>
    </w:p>
    <w:tbl>
      <w:tblPr>
        <w:tblW w:w="5815" w:type="dxa"/>
        <w:jc w:val="center"/>
        <w:tblInd w:w="0" w:type="dxa"/>
        <w:tblLayout w:type="fixed"/>
        <w:tblCellMar>
          <w:top w:w="28" w:type="dxa"/>
          <w:left w:w="28" w:type="dxa"/>
          <w:bottom w:w="28" w:type="dxa"/>
          <w:right w:w="28" w:type="dxa"/>
        </w:tblCellMar>
      </w:tblPr>
      <w:tblGrid>
        <w:gridCol w:w="828"/>
        <w:gridCol w:w="729"/>
        <w:gridCol w:w="737"/>
        <w:gridCol w:w="429"/>
        <w:gridCol w:w="950"/>
        <w:gridCol w:w="225"/>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receivables, net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receivables, net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net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receivable portfolios using both geography and delinquency as key credit quality indicators. The following summarizes geographical delinquencies of total receivables, net:</w:t>
      </w:r>
    </w:p>
    <w:tbl>
      <w:tblPr>
        <w:tblW w:w="10205" w:type="dxa"/>
        <w:jc w:val="center"/>
        <w:tblInd w:w="0" w:type="dxa"/>
        <w:tblLayout w:type="fixed"/>
        <w:tblCellMar>
          <w:top w:w="28" w:type="dxa"/>
          <w:left w:w="28" w:type="dxa"/>
          <w:bottom w:w="28" w:type="dxa"/>
          <w:right w:w="28" w:type="dxa"/>
        </w:tblCellMar>
      </w:tblPr>
      <w:tblGrid>
        <w:gridCol w:w="760"/>
        <w:gridCol w:w="656"/>
        <w:gridCol w:w="658"/>
        <w:gridCol w:w="383"/>
        <w:gridCol w:w="848"/>
        <w:gridCol w:w="201"/>
        <w:gridCol w:w="109"/>
        <w:gridCol w:w="109"/>
        <w:gridCol w:w="109"/>
        <w:gridCol w:w="665"/>
        <w:gridCol w:w="1138"/>
        <w:gridCol w:w="345"/>
        <w:gridCol w:w="109"/>
        <w:gridCol w:w="109"/>
        <w:gridCol w:w="109"/>
        <w:gridCol w:w="367"/>
        <w:gridCol w:w="813"/>
        <w:gridCol w:w="192"/>
        <w:gridCol w:w="109"/>
        <w:gridCol w:w="109"/>
        <w:gridCol w:w="109"/>
        <w:gridCol w:w="637"/>
        <w:gridCol w:w="1091"/>
        <w:gridCol w:w="470"/>
      </w:tblGrid>
      <w:tr>
        <w:trPr/>
        <w:tc>
          <w:tcPr>
            <w:tcW w:w="7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allowance:</w:t>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allowance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 balances are charged against the allowances after all internal and external collection efforts have been exhausted and the potential for recovery is considered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9"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our allowance for receivable credit losses for each of the three and nine months ended September 30, 2023 and 2022 is as follows:</w:t>
      </w:r>
    </w:p>
    <w:tbl>
      <w:tblPr>
        <w:tblW w:w="8974" w:type="dxa"/>
        <w:jc w:val="center"/>
        <w:tblInd w:w="0" w:type="dxa"/>
        <w:tblLayout w:type="fixed"/>
        <w:tblCellMar>
          <w:top w:w="28" w:type="dxa"/>
          <w:left w:w="28" w:type="dxa"/>
          <w:bottom w:w="28" w:type="dxa"/>
          <w:right w:w="28" w:type="dxa"/>
        </w:tblCellMar>
      </w:tblPr>
      <w:tblGrid>
        <w:gridCol w:w="1402"/>
        <w:gridCol w:w="1230"/>
        <w:gridCol w:w="1238"/>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March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June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510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5% and 3%, respectively, of our total receivables, net, were past due by over 90 days.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Quality of 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primarily in the Latin America region (“LATAM”) and are primarily comprised of Mexico, Peru and Argentina. The following table summarizes our LATAM receivables:</w:t>
      </w:r>
    </w:p>
    <w:tbl>
      <w:tblPr>
        <w:tblW w:w="7863" w:type="dxa"/>
        <w:jc w:val="left"/>
        <w:tblInd w:w="0" w:type="dxa"/>
        <w:tblLayout w:type="fixed"/>
        <w:tblCellMar>
          <w:top w:w="28" w:type="dxa"/>
          <w:left w:w="28" w:type="dxa"/>
          <w:bottom w:w="28" w:type="dxa"/>
          <w:right w:w="28" w:type="dxa"/>
        </w:tblCellMar>
      </w:tblPr>
      <w:tblGrid>
        <w:gridCol w:w="830"/>
        <w:gridCol w:w="731"/>
        <w:gridCol w:w="733"/>
        <w:gridCol w:w="227"/>
        <w:gridCol w:w="389"/>
        <w:gridCol w:w="117"/>
        <w:gridCol w:w="117"/>
        <w:gridCol w:w="117"/>
        <w:gridCol w:w="117"/>
        <w:gridCol w:w="117"/>
        <w:gridCol w:w="117"/>
        <w:gridCol w:w="228"/>
        <w:gridCol w:w="390"/>
        <w:gridCol w:w="118"/>
        <w:gridCol w:w="109"/>
        <w:gridCol w:w="109"/>
        <w:gridCol w:w="109"/>
        <w:gridCol w:w="768"/>
        <w:gridCol w:w="1320"/>
        <w:gridCol w:w="401"/>
        <w:gridCol w:w="109"/>
        <w:gridCol w:w="109"/>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review receivables and, as information concerning credit quality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receivables is estimated by discounting expected future cash flows using current interest rates at which similar loans would be made to borrowers with similar credit ratings and remaining maturities. As of September 30, 2023 and December 31, 2022,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(7) Inventories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711" w:type="dxa"/>
        <w:jc w:val="center"/>
        <w:tblInd w:w="0" w:type="dxa"/>
        <w:tblLayout w:type="fixed"/>
        <w:tblCellMar>
          <w:top w:w="28" w:type="dxa"/>
          <w:left w:w="28" w:type="dxa"/>
          <w:bottom w:w="28" w:type="dxa"/>
          <w:right w:w="28" w:type="dxa"/>
        </w:tblCellMar>
      </w:tblPr>
      <w:tblGrid>
        <w:gridCol w:w="793"/>
        <w:gridCol w:w="697"/>
        <w:gridCol w:w="700"/>
        <w:gridCol w:w="429"/>
        <w:gridCol w:w="950"/>
        <w:gridCol w:w="225"/>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Parts and work-in-process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    </w:t>
      </w:r>
      <w:r>
        <w:rPr>
          <w:rFonts w:ascii="Times New Roman;sans-serif" w:hAnsi="Times New Roman;sans-serif"/>
          <w:b w:val="false"/>
          <w:color w:val="000000"/>
          <w:sz w:val="20"/>
        </w:rPr>
        <w:t>Parts and work-in-process include parts for gaming machines and our finished goods inventory primarily consists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0"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Property and Equipment,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821" w:type="dxa"/>
        <w:jc w:val="center"/>
        <w:tblInd w:w="0" w:type="dxa"/>
        <w:tblLayout w:type="fixed"/>
        <w:tblCellMar>
          <w:top w:w="28" w:type="dxa"/>
          <w:left w:w="28" w:type="dxa"/>
          <w:bottom w:w="28" w:type="dxa"/>
          <w:right w:w="28" w:type="dxa"/>
        </w:tblCellMar>
      </w:tblPr>
      <w:tblGrid>
        <w:gridCol w:w="1195"/>
        <w:gridCol w:w="1047"/>
        <w:gridCol w:w="1058"/>
        <w:gridCol w:w="429"/>
        <w:gridCol w:w="950"/>
        <w:gridCol w:w="225"/>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machinery and equipment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4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521" w:type="dxa"/>
            <w:gridSpan w:val="9"/>
            <w:tcBorders/>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excluded from cost of services, cost of products and other operating expenses and is separately presented within Depreciation, amortization and impairments.</w:t>
      </w:r>
    </w:p>
    <w:tbl>
      <w:tblPr>
        <w:tblW w:w="7937" w:type="dxa"/>
        <w:jc w:val="center"/>
        <w:tblInd w:w="0" w:type="dxa"/>
        <w:tblLayout w:type="fixed"/>
        <w:tblCellMar>
          <w:top w:w="28" w:type="dxa"/>
          <w:left w:w="28" w:type="dxa"/>
          <w:bottom w:w="28" w:type="dxa"/>
          <w:right w:w="28" w:type="dxa"/>
        </w:tblCellMar>
      </w:tblPr>
      <w:tblGrid>
        <w:gridCol w:w="679"/>
        <w:gridCol w:w="597"/>
        <w:gridCol w:w="599"/>
        <w:gridCol w:w="361"/>
        <w:gridCol w:w="618"/>
        <w:gridCol w:w="186"/>
        <w:gridCol w:w="186"/>
        <w:gridCol w:w="186"/>
        <w:gridCol w:w="186"/>
        <w:gridCol w:w="361"/>
        <w:gridCol w:w="618"/>
        <w:gridCol w:w="186"/>
        <w:gridCol w:w="109"/>
        <w:gridCol w:w="109"/>
        <w:gridCol w:w="109"/>
        <w:gridCol w:w="346"/>
        <w:gridCol w:w="593"/>
        <w:gridCol w:w="179"/>
        <w:gridCol w:w="179"/>
        <w:gridCol w:w="179"/>
        <w:gridCol w:w="179"/>
        <w:gridCol w:w="346"/>
        <w:gridCol w:w="593"/>
        <w:gridCol w:w="253"/>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6062"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Intangible Assets, net and Goodwill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intangible assets as of September 30, 2023 and December 31, 2022:</w:t>
      </w:r>
    </w:p>
    <w:tbl>
      <w:tblPr>
        <w:tblW w:w="10205" w:type="dxa"/>
        <w:jc w:val="center"/>
        <w:tblInd w:w="0" w:type="dxa"/>
        <w:tblLayout w:type="fixed"/>
        <w:tblCellMar>
          <w:top w:w="28" w:type="dxa"/>
          <w:left w:w="28" w:type="dxa"/>
          <w:bottom w:w="28" w:type="dxa"/>
          <w:right w:w="28" w:type="dxa"/>
        </w:tblCellMar>
      </w:tblPr>
      <w:tblGrid>
        <w:gridCol w:w="574"/>
        <w:gridCol w:w="474"/>
        <w:gridCol w:w="476"/>
        <w:gridCol w:w="259"/>
        <w:gridCol w:w="759"/>
        <w:gridCol w:w="134"/>
        <w:gridCol w:w="109"/>
        <w:gridCol w:w="109"/>
        <w:gridCol w:w="109"/>
        <w:gridCol w:w="308"/>
        <w:gridCol w:w="924"/>
        <w:gridCol w:w="160"/>
        <w:gridCol w:w="109"/>
        <w:gridCol w:w="109"/>
        <w:gridCol w:w="109"/>
        <w:gridCol w:w="109"/>
        <w:gridCol w:w="109"/>
        <w:gridCol w:w="226"/>
        <w:gridCol w:w="500"/>
        <w:gridCol w:w="117"/>
        <w:gridCol w:w="109"/>
        <w:gridCol w:w="109"/>
        <w:gridCol w:w="109"/>
        <w:gridCol w:w="259"/>
        <w:gridCol w:w="759"/>
        <w:gridCol w:w="134"/>
        <w:gridCol w:w="109"/>
        <w:gridCol w:w="109"/>
        <w:gridCol w:w="109"/>
        <w:gridCol w:w="308"/>
        <w:gridCol w:w="924"/>
        <w:gridCol w:w="160"/>
        <w:gridCol w:w="109"/>
        <w:gridCol w:w="109"/>
        <w:gridCol w:w="109"/>
        <w:gridCol w:w="225"/>
        <w:gridCol w:w="498"/>
        <w:gridCol w:w="174"/>
      </w:tblGrid>
      <w:tr>
        <w:trPr/>
        <w:tc>
          <w:tcPr>
            <w:tcW w:w="5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1224" w:type="dxa"/>
            <w:gridSpan w:val="6"/>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224" w:type="dxa"/>
            <w:gridSpan w:val="6"/>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names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intangible amortization expense included within Depreciation, amortization and impairments.</w:t>
      </w:r>
    </w:p>
    <w:tbl>
      <w:tblPr>
        <w:tblW w:w="10205" w:type="dxa"/>
        <w:jc w:val="center"/>
        <w:tblInd w:w="0" w:type="dxa"/>
        <w:tblLayout w:type="fixed"/>
        <w:tblCellMar>
          <w:top w:w="28" w:type="dxa"/>
          <w:left w:w="28" w:type="dxa"/>
          <w:bottom w:w="28" w:type="dxa"/>
          <w:right w:w="28" w:type="dxa"/>
        </w:tblCellMar>
      </w:tblPr>
      <w:tblGrid>
        <w:gridCol w:w="928"/>
        <w:gridCol w:w="815"/>
        <w:gridCol w:w="820"/>
        <w:gridCol w:w="447"/>
        <w:gridCol w:w="765"/>
        <w:gridCol w:w="230"/>
        <w:gridCol w:w="230"/>
        <w:gridCol w:w="230"/>
        <w:gridCol w:w="230"/>
        <w:gridCol w:w="447"/>
        <w:gridCol w:w="765"/>
        <w:gridCol w:w="230"/>
        <w:gridCol w:w="149"/>
        <w:gridCol w:w="149"/>
        <w:gridCol w:w="149"/>
        <w:gridCol w:w="392"/>
        <w:gridCol w:w="867"/>
        <w:gridCol w:w="202"/>
        <w:gridCol w:w="202"/>
        <w:gridCol w:w="202"/>
        <w:gridCol w:w="202"/>
        <w:gridCol w:w="392"/>
        <w:gridCol w:w="867"/>
        <w:gridCol w:w="295"/>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expense</w:t>
            </w:r>
            <w:r>
              <w:rPr>
                <w:rFonts w:ascii="Times New Roman;sans-serif" w:hAnsi="Times New Roman;sans-serif"/>
                <w:b w:val="false"/>
                <w:color w:val="000000"/>
                <w:sz w:val="13"/>
              </w:rPr>
              <w:t>(1)</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nine months ended September 30, 2023 include an intangible assets non-cash impairment charge of $4 million related to SciPlay restructuring of a certain foreign studio.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1"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carrying value of goodwill by business segment for the period from December 31, 2022 to September 30, 2023.</w:t>
      </w:r>
    </w:p>
    <w:tbl>
      <w:tblPr>
        <w:tblW w:w="9797" w:type="dxa"/>
        <w:jc w:val="center"/>
        <w:tblInd w:w="0" w:type="dxa"/>
        <w:tblLayout w:type="fixed"/>
        <w:tblCellMar>
          <w:top w:w="28" w:type="dxa"/>
          <w:left w:w="28" w:type="dxa"/>
          <w:bottom w:w="28" w:type="dxa"/>
          <w:right w:w="28" w:type="dxa"/>
        </w:tblCellMar>
      </w:tblPr>
      <w:tblGrid>
        <w:gridCol w:w="1308"/>
        <w:gridCol w:w="1149"/>
        <w:gridCol w:w="1151"/>
        <w:gridCol w:w="137"/>
        <w:gridCol w:w="137"/>
        <w:gridCol w:w="137"/>
        <w:gridCol w:w="265"/>
        <w:gridCol w:w="776"/>
        <w:gridCol w:w="137"/>
        <w:gridCol w:w="137"/>
        <w:gridCol w:w="137"/>
        <w:gridCol w:w="137"/>
        <w:gridCol w:w="137"/>
        <w:gridCol w:w="137"/>
        <w:gridCol w:w="265"/>
        <w:gridCol w:w="587"/>
        <w:gridCol w:w="137"/>
        <w:gridCol w:w="137"/>
        <w:gridCol w:w="137"/>
        <w:gridCol w:w="137"/>
        <w:gridCol w:w="265"/>
        <w:gridCol w:w="587"/>
        <w:gridCol w:w="137"/>
        <w:gridCol w:w="109"/>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Gaming</w:t>
            </w:r>
            <w:r>
              <w:rPr>
                <w:rFonts w:ascii="Times New Roman;sans-serif" w:hAnsi="Times New Roman;sans-serif"/>
                <w:b/>
                <w:color w:val="000000"/>
                <w:sz w:val="12"/>
              </w:rPr>
              <w:t>(1)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adjustments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1" w:type="dxa"/>
            <w:gridSpan w:val="2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Accumulated goodwill impairment charges for the Gaming segment as of September 30, 2023 were $989 million.</w:t>
            </w:r>
          </w:p>
        </w:tc>
        <w:tc>
          <w:tcPr>
            <w:tcW w:w="1526" w:type="dxa"/>
            <w:gridSpan w:val="8"/>
            <w:tcBorders/>
          </w:tcPr>
          <w:p>
            <w:pPr>
              <w:pStyle w:val="TableContents"/>
              <w:bidi w:val="0"/>
              <w:spacing w:before="0" w:after="283"/>
              <w:jc w:val="left"/>
              <w:rPr>
                <w:sz w:val="4"/>
                <w:szCs w:val="4"/>
              </w:rPr>
            </w:pPr>
            <w:r>
              <w:rPr>
                <w:sz w:val="4"/>
                <w:szCs w:val="4"/>
              </w:rPr>
            </w:r>
          </w:p>
        </w:tc>
      </w:tr>
      <w:tr>
        <w:trPr/>
        <w:tc>
          <w:tcPr>
            <w:tcW w:w="3608" w:type="dxa"/>
            <w:gridSpan w:val="3"/>
            <w:tcBorders/>
            <w:vAlign w:val="center"/>
          </w:tcPr>
          <w:p>
            <w:pPr>
              <w:pStyle w:val="TableContents"/>
              <w:bidi w:val="0"/>
              <w:spacing w:before="0" w:after="283"/>
              <w:jc w:val="left"/>
              <w:rPr>
                <w:sz w:val="4"/>
                <w:szCs w:val="4"/>
              </w:rPr>
            </w:pPr>
            <w:r>
              <w:rPr>
                <w:sz w:val="4"/>
                <w:szCs w:val="4"/>
              </w:rPr>
            </w:r>
          </w:p>
        </w:tc>
        <w:tc>
          <w:tcPr>
            <w:tcW w:w="6189" w:type="dxa"/>
            <w:gridSpan w:val="2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Software,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 consisted of the following:</w:t>
      </w:r>
    </w:p>
    <w:tbl>
      <w:tblPr>
        <w:tblW w:w="5802" w:type="dxa"/>
        <w:jc w:val="center"/>
        <w:tblInd w:w="0" w:type="dxa"/>
        <w:tblLayout w:type="fixed"/>
        <w:tblCellMar>
          <w:top w:w="28" w:type="dxa"/>
          <w:left w:w="28" w:type="dxa"/>
          <w:bottom w:w="28" w:type="dxa"/>
          <w:right w:w="28" w:type="dxa"/>
        </w:tblCellMar>
      </w:tblPr>
      <w:tblGrid>
        <w:gridCol w:w="824"/>
        <w:gridCol w:w="725"/>
        <w:gridCol w:w="731"/>
        <w:gridCol w:w="362"/>
        <w:gridCol w:w="1056"/>
        <w:gridCol w:w="187"/>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amortization of software included within D&amp;A:</w:t>
      </w:r>
    </w:p>
    <w:tbl>
      <w:tblPr>
        <w:tblW w:w="7967" w:type="dxa"/>
        <w:jc w:val="center"/>
        <w:tblInd w:w="0" w:type="dxa"/>
        <w:tblLayout w:type="fixed"/>
        <w:tblCellMar>
          <w:top w:w="28" w:type="dxa"/>
          <w:left w:w="28" w:type="dxa"/>
          <w:bottom w:w="28" w:type="dxa"/>
          <w:right w:w="28" w:type="dxa"/>
        </w:tblCellMar>
      </w:tblPr>
      <w:tblGrid>
        <w:gridCol w:w="690"/>
        <w:gridCol w:w="606"/>
        <w:gridCol w:w="609"/>
        <w:gridCol w:w="361"/>
        <w:gridCol w:w="618"/>
        <w:gridCol w:w="186"/>
        <w:gridCol w:w="186"/>
        <w:gridCol w:w="186"/>
        <w:gridCol w:w="186"/>
        <w:gridCol w:w="361"/>
        <w:gridCol w:w="618"/>
        <w:gridCol w:w="186"/>
        <w:gridCol w:w="109"/>
        <w:gridCol w:w="109"/>
        <w:gridCol w:w="109"/>
        <w:gridCol w:w="346"/>
        <w:gridCol w:w="593"/>
        <w:gridCol w:w="179"/>
        <w:gridCol w:w="179"/>
        <w:gridCol w:w="179"/>
        <w:gridCol w:w="179"/>
        <w:gridCol w:w="346"/>
        <w:gridCol w:w="593"/>
        <w:gridCol w:w="25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6062"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2"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3"/>
        <w:gridCol w:w="487"/>
        <w:gridCol w:w="490"/>
        <w:gridCol w:w="300"/>
        <w:gridCol w:w="300"/>
        <w:gridCol w:w="301"/>
        <w:gridCol w:w="109"/>
        <w:gridCol w:w="109"/>
        <w:gridCol w:w="109"/>
        <w:gridCol w:w="254"/>
        <w:gridCol w:w="254"/>
        <w:gridCol w:w="258"/>
        <w:gridCol w:w="109"/>
        <w:gridCol w:w="109"/>
        <w:gridCol w:w="109"/>
        <w:gridCol w:w="211"/>
        <w:gridCol w:w="616"/>
        <w:gridCol w:w="109"/>
        <w:gridCol w:w="109"/>
        <w:gridCol w:w="109"/>
        <w:gridCol w:w="109"/>
        <w:gridCol w:w="635"/>
        <w:gridCol w:w="1225"/>
        <w:gridCol w:w="331"/>
        <w:gridCol w:w="109"/>
        <w:gridCol w:w="109"/>
        <w:gridCol w:w="109"/>
        <w:gridCol w:w="212"/>
        <w:gridCol w:w="619"/>
        <w:gridCol w:w="109"/>
        <w:gridCol w:w="109"/>
        <w:gridCol w:w="109"/>
        <w:gridCol w:w="109"/>
        <w:gridCol w:w="243"/>
        <w:gridCol w:w="710"/>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SciPlay Revolver</w:t>
            </w:r>
            <w:r>
              <w:rPr>
                <w:rFonts w:ascii="Times New Roman;sans-serif" w:hAnsi="Times New Roman;sans-serif"/>
                <w:b w:val="false"/>
                <w:color w:val="000000"/>
                <w:sz w:val="13"/>
              </w:rPr>
              <w:t>(1)</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Senior Notes: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outstanding</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debt</w:t>
            </w:r>
            <w:r>
              <w:rPr>
                <w:rFonts w:ascii="Times New Roman;sans-serif" w:hAnsi="Times New Roman;sans-serif"/>
                <w:b w:val="false"/>
                <w:color w:val="000000"/>
                <w:sz w:val="13"/>
              </w:rPr>
              <w:t>(2)</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On October 23, 2023, upon completion of the SciPlay Merger, the SciPlay Revolver was terminated.</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2031 Unsecured Notes and Redemption of 2025 Unsecured Notes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23, 2023, we issued $550 million in aggregate principal amount of 7.500% senior unsecured notes due 2031 pursuant to an indenture among LNWI, as issuer, the Company, the other guarantors party thereto and Deutsche Bank Trust Company Americas, as trustee. We received net proceeds of $544 million from the issuance. The 2031 Unsecured Notes bear interest at the rate of 7.500% per annum, which accrues from August 23, 2023, and is payable semiannually in arrears on March 1 and September 1 of each year, beginning on March 1, 2024. We may redeem some or all of the 2031 Unsecured Notes at any time prior to September 1, 2026, at a redemption price equal to 100% of the principal amount plus accrued and unpaid interest, if any, to the date of the redemption plus a “make whole” premium. We may redeem some or all of the 2031 Unsecured Notes at any time on or after September 1, 2026, at the prices specified in the indenture.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2031 Unsecured Notes are senior obligations of LNWI, rank equally with all of its existing and future senior debt and rank senior to all of its existing and future debt that is expressly subordinated to the 2031 Unsecured Notes. The 2031 Unsecured Notes are guaranteed on a senior unsecured basis by the Company and all of its wholly owned domestic restricted subsidiaries (other than LNWI and certain immaterial subsidiaries), subject to customary exceptions. The net proceeds of the 2031 Unsecured Notes offering, together with cash on hand, were used to redeem all $550 million of the 2025 Unsecured Notes and to pay accrued and unpaid interest thereon plus related premiums, fees and expenses.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the financial covenants under all debt agreements as of September 30, 2023 (for information regarding our financial covenants of all debt agreements, see Note 15 in our 2022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3"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Debt Financing Transactions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components of the loss on debt financing transactions resulting from debt extinguishment and modification accounting for the three and nine months ended September 30, 2023 and 2022, respectively.</w:t>
      </w:r>
    </w:p>
    <w:tbl>
      <w:tblPr>
        <w:tblW w:w="10205" w:type="dxa"/>
        <w:jc w:val="left"/>
        <w:tblInd w:w="0" w:type="dxa"/>
        <w:tblLayout w:type="fixed"/>
        <w:tblCellMar>
          <w:top w:w="28" w:type="dxa"/>
          <w:left w:w="28" w:type="dxa"/>
          <w:bottom w:w="28" w:type="dxa"/>
          <w:right w:w="28" w:type="dxa"/>
        </w:tblCellMar>
      </w:tblPr>
      <w:tblGrid>
        <w:gridCol w:w="1623"/>
        <w:gridCol w:w="1408"/>
        <w:gridCol w:w="1416"/>
        <w:gridCol w:w="331"/>
        <w:gridCol w:w="567"/>
        <w:gridCol w:w="171"/>
        <w:gridCol w:w="171"/>
        <w:gridCol w:w="171"/>
        <w:gridCol w:w="171"/>
        <w:gridCol w:w="331"/>
        <w:gridCol w:w="639"/>
        <w:gridCol w:w="171"/>
        <w:gridCol w:w="109"/>
        <w:gridCol w:w="109"/>
        <w:gridCol w:w="109"/>
        <w:gridCol w:w="310"/>
        <w:gridCol w:w="530"/>
        <w:gridCol w:w="159"/>
        <w:gridCol w:w="159"/>
        <w:gridCol w:w="159"/>
        <w:gridCol w:w="159"/>
        <w:gridCol w:w="310"/>
        <w:gridCol w:w="685"/>
        <w:gridCol w:w="237"/>
      </w:tblGrid>
      <w:tr>
        <w:trPr/>
        <w:tc>
          <w:tcPr>
            <w:tcW w:w="162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principal balance at premium</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deferred financing costs,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on debt refinancing transactions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terms of our credit facilities and Senior Notes, see Note 15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held the following derivative instruments that were accounted for pursuant to ASC 815:</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interest rate swap contracts as described below to mitigate gains or losses associated with the change in expected cash flows due to fluctuations in interest rates on our variable rate debt.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interest rate swap contracts to hedge a portion of our interest expense associated with our new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interest rate swaps was $700 million as of September 30, 2023. These hedges mature in April 2027. We also previously had interest rate swap contracts that matured in February 2022.</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gains and losses from these hedges were recorded in other comprehensive income (loss) until the future underlying payment transactions occur. Any realized gains or losses resulting from the hedges were recognized (together with the hedged transaction) as interest expense. We estimated the fair value of our interest rate swap contracts by discounting the future cash flows of both the fixed rate and variable rate interest payments based on market yield curves. The inputs used to measure the fair value of our interest rate swap contracts were categorized as Level 2 in the fair value hierarchy as established by ASC 820.</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gain and interest expense recognized on our interest rate swap contracts:</w:t>
      </w:r>
    </w:p>
    <w:tbl>
      <w:tblPr>
        <w:tblW w:w="10205" w:type="dxa"/>
        <w:jc w:val="center"/>
        <w:tblInd w:w="0" w:type="dxa"/>
        <w:tblLayout w:type="fixed"/>
        <w:tblCellMar>
          <w:top w:w="28" w:type="dxa"/>
          <w:left w:w="28" w:type="dxa"/>
          <w:bottom w:w="28" w:type="dxa"/>
          <w:right w:w="28" w:type="dxa"/>
        </w:tblCellMar>
      </w:tblPr>
      <w:tblGrid>
        <w:gridCol w:w="1736"/>
        <w:gridCol w:w="1526"/>
        <w:gridCol w:w="1534"/>
        <w:gridCol w:w="339"/>
        <w:gridCol w:w="412"/>
        <w:gridCol w:w="175"/>
        <w:gridCol w:w="175"/>
        <w:gridCol w:w="175"/>
        <w:gridCol w:w="175"/>
        <w:gridCol w:w="339"/>
        <w:gridCol w:w="582"/>
        <w:gridCol w:w="175"/>
        <w:gridCol w:w="109"/>
        <w:gridCol w:w="109"/>
        <w:gridCol w:w="109"/>
        <w:gridCol w:w="327"/>
        <w:gridCol w:w="397"/>
        <w:gridCol w:w="168"/>
        <w:gridCol w:w="168"/>
        <w:gridCol w:w="168"/>
        <w:gridCol w:w="168"/>
        <w:gridCol w:w="327"/>
        <w:gridCol w:w="560"/>
        <w:gridCol w:w="252"/>
      </w:tblGrid>
      <w:tr>
        <w:trPr/>
        <w:tc>
          <w:tcPr>
            <w:tcW w:w="1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recorded in accumulated other comprehensive loss, net of tax</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recorded related to interest rate swap contracts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540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reclassify material amounts from accumulated other comprehensive loss to interest expense in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4"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of interest rate swap contracts designated as cash flow hedges on interest expense in the consolidated statements of operations:</w:t>
      </w:r>
    </w:p>
    <w:tbl>
      <w:tblPr>
        <w:tblW w:w="10205" w:type="dxa"/>
        <w:jc w:val="center"/>
        <w:tblInd w:w="0" w:type="dxa"/>
        <w:tblLayout w:type="fixed"/>
        <w:tblCellMar>
          <w:top w:w="28" w:type="dxa"/>
          <w:left w:w="28" w:type="dxa"/>
          <w:bottom w:w="28" w:type="dxa"/>
          <w:right w:w="28" w:type="dxa"/>
        </w:tblCellMar>
      </w:tblPr>
      <w:tblGrid>
        <w:gridCol w:w="1697"/>
        <w:gridCol w:w="1443"/>
        <w:gridCol w:w="1454"/>
        <w:gridCol w:w="305"/>
        <w:gridCol w:w="616"/>
        <w:gridCol w:w="157"/>
        <w:gridCol w:w="157"/>
        <w:gridCol w:w="157"/>
        <w:gridCol w:w="157"/>
        <w:gridCol w:w="305"/>
        <w:gridCol w:w="616"/>
        <w:gridCol w:w="157"/>
        <w:gridCol w:w="109"/>
        <w:gridCol w:w="109"/>
        <w:gridCol w:w="109"/>
        <w:gridCol w:w="270"/>
        <w:gridCol w:w="679"/>
        <w:gridCol w:w="139"/>
        <w:gridCol w:w="139"/>
        <w:gridCol w:w="139"/>
        <w:gridCol w:w="139"/>
        <w:gridCol w:w="270"/>
        <w:gridCol w:w="679"/>
        <w:gridCol w:w="203"/>
      </w:tblGrid>
      <w:tr>
        <w:trPr/>
        <w:tc>
          <w:tcPr>
            <w:tcW w:w="169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2984" w:type="dxa"/>
            <w:gridSpan w:val="12"/>
            <w:tcBorders/>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which reflects the effects of cash flow hedges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Hedged item</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designated as hedging instrument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fair value of our hedges:</w:t>
      </w:r>
    </w:p>
    <w:tbl>
      <w:tblPr>
        <w:tblW w:w="7402" w:type="dxa"/>
        <w:jc w:val="center"/>
        <w:tblInd w:w="0" w:type="dxa"/>
        <w:tblLayout w:type="fixed"/>
        <w:tblCellMar>
          <w:top w:w="28" w:type="dxa"/>
          <w:left w:w="28" w:type="dxa"/>
          <w:bottom w:w="28" w:type="dxa"/>
          <w:right w:w="28" w:type="dxa"/>
        </w:tblCellMar>
      </w:tblPr>
      <w:tblGrid>
        <w:gridCol w:w="575"/>
        <w:gridCol w:w="505"/>
        <w:gridCol w:w="509"/>
        <w:gridCol w:w="654"/>
        <w:gridCol w:w="654"/>
        <w:gridCol w:w="657"/>
        <w:gridCol w:w="109"/>
        <w:gridCol w:w="109"/>
        <w:gridCol w:w="109"/>
        <w:gridCol w:w="496"/>
        <w:gridCol w:w="850"/>
        <w:gridCol w:w="258"/>
        <w:gridCol w:w="109"/>
        <w:gridCol w:w="109"/>
        <w:gridCol w:w="109"/>
        <w:gridCol w:w="462"/>
        <w:gridCol w:w="790"/>
        <w:gridCol w:w="3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813"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contingent acquisition consideration liabilities (including deferred purchase price) for the period from December 31, 2022 to September 30, 2023.</w:t>
      </w:r>
    </w:p>
    <w:tbl>
      <w:tblPr>
        <w:tblW w:w="10205" w:type="dxa"/>
        <w:jc w:val="left"/>
        <w:tblInd w:w="0" w:type="dxa"/>
        <w:tblLayout w:type="fixed"/>
        <w:tblCellMar>
          <w:top w:w="28" w:type="dxa"/>
          <w:left w:w="28" w:type="dxa"/>
          <w:bottom w:w="28" w:type="dxa"/>
          <w:right w:w="28" w:type="dxa"/>
        </w:tblCellMar>
      </w:tblPr>
      <w:tblGrid>
        <w:gridCol w:w="1081"/>
        <w:gridCol w:w="922"/>
        <w:gridCol w:w="924"/>
        <w:gridCol w:w="296"/>
        <w:gridCol w:w="508"/>
        <w:gridCol w:w="153"/>
        <w:gridCol w:w="153"/>
        <w:gridCol w:w="153"/>
        <w:gridCol w:w="153"/>
        <w:gridCol w:w="729"/>
        <w:gridCol w:w="1248"/>
        <w:gridCol w:w="380"/>
        <w:gridCol w:w="153"/>
        <w:gridCol w:w="153"/>
        <w:gridCol w:w="153"/>
        <w:gridCol w:w="883"/>
        <w:gridCol w:w="1511"/>
        <w:gridCol w:w="652"/>
      </w:tblGrid>
      <w:tr>
        <w:trPr/>
        <w:tc>
          <w:tcPr>
            <w:tcW w:w="10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Accrued Liabilities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Other Long-Term Liabilities</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3046"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adjustments</w:t>
            </w:r>
            <w:r>
              <w:rPr>
                <w:rFonts w:ascii="Times New Roman;sans-serif" w:hAnsi="Times New Roman;sans-serif"/>
                <w:b w:val="false"/>
                <w:color w:val="000000"/>
                <w:sz w:val="13"/>
              </w:rPr>
              <w:t>(1)</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Amount included in Restructuring and other (see Note 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Primarily represents extinguishment of $3 million in redeemable non-controlling interest liability associated with SciPlay’s acquisition of Alictus Yazilim Anonim Şirketi in 2022, as specified financial targets for the first year were not met. The charge was recorded in other income, net in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5"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Stockholders’ Equity (Deficit)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stockholders’ equity as of September 30, 2023 and 2022:</w:t>
      </w:r>
    </w:p>
    <w:tbl>
      <w:tblPr>
        <w:tblW w:w="10245" w:type="dxa"/>
        <w:jc w:val="left"/>
        <w:tblInd w:w="0" w:type="dxa"/>
        <w:tblLayout w:type="fixed"/>
        <w:tblCellMar>
          <w:top w:w="28" w:type="dxa"/>
          <w:left w:w="28" w:type="dxa"/>
          <w:bottom w:w="28" w:type="dxa"/>
          <w:right w:w="28" w:type="dxa"/>
        </w:tblCellMar>
      </w:tblPr>
      <w:tblGrid>
        <w:gridCol w:w="814"/>
        <w:gridCol w:w="268"/>
        <w:gridCol w:w="269"/>
        <w:gridCol w:w="302"/>
        <w:gridCol w:w="367"/>
        <w:gridCol w:w="157"/>
        <w:gridCol w:w="109"/>
        <w:gridCol w:w="109"/>
        <w:gridCol w:w="109"/>
        <w:gridCol w:w="211"/>
        <w:gridCol w:w="616"/>
        <w:gridCol w:w="109"/>
        <w:gridCol w:w="109"/>
        <w:gridCol w:w="109"/>
        <w:gridCol w:w="109"/>
        <w:gridCol w:w="217"/>
        <w:gridCol w:w="480"/>
        <w:gridCol w:w="114"/>
        <w:gridCol w:w="109"/>
        <w:gridCol w:w="109"/>
        <w:gridCol w:w="109"/>
        <w:gridCol w:w="211"/>
        <w:gridCol w:w="491"/>
        <w:gridCol w:w="109"/>
        <w:gridCol w:w="109"/>
        <w:gridCol w:w="109"/>
        <w:gridCol w:w="109"/>
        <w:gridCol w:w="344"/>
        <w:gridCol w:w="784"/>
        <w:gridCol w:w="178"/>
        <w:gridCol w:w="109"/>
        <w:gridCol w:w="109"/>
        <w:gridCol w:w="109"/>
        <w:gridCol w:w="338"/>
        <w:gridCol w:w="747"/>
        <w:gridCol w:w="176"/>
        <w:gridCol w:w="109"/>
        <w:gridCol w:w="109"/>
        <w:gridCol w:w="109"/>
        <w:gridCol w:w="211"/>
        <w:gridCol w:w="61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of treasury stock</w:t>
            </w:r>
            <w:r>
              <w:rPr>
                <w:rFonts w:ascii="Times New Roman;sans-serif" w:hAnsi="Times New Roman;sans-serif"/>
                <w:b w:val="false"/>
                <w:color w:val="000000"/>
                <w:sz w:val="13"/>
              </w:rPr>
              <w:t>(1)</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5" w:type="dxa"/>
            <w:gridSpan w:val="4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excise taxes of $1 million for the three and nine months ended September 30,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6"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635" w:type="dxa"/>
        <w:jc w:val="center"/>
        <w:tblInd w:w="0" w:type="dxa"/>
        <w:tblLayout w:type="fixed"/>
        <w:tblCellMar>
          <w:top w:w="28" w:type="dxa"/>
          <w:left w:w="28" w:type="dxa"/>
          <w:bottom w:w="28" w:type="dxa"/>
          <w:right w:w="28" w:type="dxa"/>
        </w:tblCellMar>
      </w:tblPr>
      <w:tblGrid>
        <w:gridCol w:w="814"/>
        <w:gridCol w:w="268"/>
        <w:gridCol w:w="269"/>
        <w:gridCol w:w="302"/>
        <w:gridCol w:w="367"/>
        <w:gridCol w:w="157"/>
        <w:gridCol w:w="109"/>
        <w:gridCol w:w="109"/>
        <w:gridCol w:w="109"/>
        <w:gridCol w:w="211"/>
        <w:gridCol w:w="616"/>
        <w:gridCol w:w="109"/>
        <w:gridCol w:w="109"/>
        <w:gridCol w:w="109"/>
        <w:gridCol w:w="109"/>
        <w:gridCol w:w="263"/>
        <w:gridCol w:w="786"/>
        <w:gridCol w:w="137"/>
        <w:gridCol w:w="109"/>
        <w:gridCol w:w="109"/>
        <w:gridCol w:w="109"/>
        <w:gridCol w:w="211"/>
        <w:gridCol w:w="491"/>
        <w:gridCol w:w="109"/>
        <w:gridCol w:w="109"/>
        <w:gridCol w:w="109"/>
        <w:gridCol w:w="109"/>
        <w:gridCol w:w="344"/>
        <w:gridCol w:w="784"/>
        <w:gridCol w:w="178"/>
        <w:gridCol w:w="109"/>
        <w:gridCol w:w="109"/>
        <w:gridCol w:w="109"/>
        <w:gridCol w:w="338"/>
        <w:gridCol w:w="747"/>
        <w:gridCol w:w="176"/>
        <w:gridCol w:w="109"/>
        <w:gridCol w:w="109"/>
        <w:gridCol w:w="109"/>
        <w:gridCol w:w="211"/>
        <w:gridCol w:w="63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loss</w:t>
            </w:r>
            <w:r>
              <w:rPr>
                <w:rFonts w:ascii="Times New Roman;sans-serif" w:hAnsi="Times New Roman;sans-serif"/>
                <w:b w:val="false"/>
                <w:color w:val="000000"/>
                <w:sz w:val="13"/>
              </w:rPr>
              <w:t>(1)</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loss</w:t>
            </w:r>
            <w:r>
              <w:rPr>
                <w:rFonts w:ascii="Times New Roman;sans-serif" w:hAnsi="Times New Roman;sans-serif"/>
                <w:b w:val="false"/>
                <w:color w:val="000000"/>
                <w:sz w:val="13"/>
              </w:rPr>
              <w:t>(1)</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5"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reclassifications of $51 million and $74 million for the three and nine months ended September 30, 2022, respectively, from accumulated other comprehensive loss into income due to the sales of discontinued operations (see Note 2).</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total stock-based compensation expense recognized under all programs:</w:t>
      </w:r>
    </w:p>
    <w:tbl>
      <w:tblPr>
        <w:tblW w:w="10205" w:type="dxa"/>
        <w:jc w:val="center"/>
        <w:tblInd w:w="0" w:type="dxa"/>
        <w:tblLayout w:type="fixed"/>
        <w:tblCellMar>
          <w:top w:w="28" w:type="dxa"/>
          <w:left w:w="28" w:type="dxa"/>
          <w:bottom w:w="28" w:type="dxa"/>
          <w:right w:w="28" w:type="dxa"/>
        </w:tblCellMar>
      </w:tblPr>
      <w:tblGrid>
        <w:gridCol w:w="980"/>
        <w:gridCol w:w="861"/>
        <w:gridCol w:w="864"/>
        <w:gridCol w:w="419"/>
        <w:gridCol w:w="807"/>
        <w:gridCol w:w="216"/>
        <w:gridCol w:w="216"/>
        <w:gridCol w:w="216"/>
        <w:gridCol w:w="216"/>
        <w:gridCol w:w="419"/>
        <w:gridCol w:w="807"/>
        <w:gridCol w:w="216"/>
        <w:gridCol w:w="156"/>
        <w:gridCol w:w="156"/>
        <w:gridCol w:w="156"/>
        <w:gridCol w:w="415"/>
        <w:gridCol w:w="798"/>
        <w:gridCol w:w="213"/>
        <w:gridCol w:w="213"/>
        <w:gridCol w:w="213"/>
        <w:gridCol w:w="213"/>
        <w:gridCol w:w="415"/>
        <w:gridCol w:w="709"/>
        <w:gridCol w:w="311"/>
      </w:tblGrid>
      <w:tr>
        <w:trPr/>
        <w:tc>
          <w:tcPr>
            <w:tcW w:w="9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L&amp;W stock options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L&amp;W RSUs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SciPlay RSUs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(1)</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$19 million and $45 million classified as liability awards for the three and nine months ended September 30, 2023, respectively, and $6 million and $16 million for the three and nine months ended September 30, 2022, respectively.</w:t>
            </w:r>
          </w:p>
        </w:tc>
      </w:tr>
      <w:tr>
        <w:trPr/>
        <w:tc>
          <w:tcPr>
            <w:tcW w:w="2705"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2705" w:type="dxa"/>
            <w:gridSpan w:val="3"/>
            <w:tcBorders/>
            <w:vAlign w:val="center"/>
          </w:tcPr>
          <w:p>
            <w:pPr>
              <w:pStyle w:val="TableContents"/>
              <w:bidi w:val="0"/>
              <w:spacing w:before="0" w:after="283"/>
              <w:jc w:val="left"/>
              <w:rPr>
                <w:sz w:val="4"/>
                <w:szCs w:val="4"/>
              </w:rPr>
            </w:pPr>
            <w:r>
              <w:rPr>
                <w:sz w:val="4"/>
                <w:szCs w:val="4"/>
              </w:rPr>
            </w:r>
          </w:p>
        </w:tc>
        <w:tc>
          <w:tcPr>
            <w:tcW w:w="7500" w:type="dxa"/>
            <w:gridSpan w:val="21"/>
            <w:tcBorders/>
          </w:tcPr>
          <w:p>
            <w:pPr>
              <w:pStyle w:val="TableContents"/>
              <w:bidi w:val="0"/>
              <w:spacing w:before="0" w:after="283"/>
              <w:jc w:val="left"/>
              <w:rPr>
                <w:sz w:val="4"/>
                <w:szCs w:val="4"/>
              </w:rPr>
            </w:pPr>
            <w:r>
              <w:rPr>
                <w:sz w:val="4"/>
                <w:szCs w:val="4"/>
              </w:rPr>
            </w:r>
          </w:p>
        </w:tc>
      </w:tr>
      <w:tr>
        <w:trPr/>
        <w:tc>
          <w:tcPr>
            <w:tcW w:w="2705" w:type="dxa"/>
            <w:gridSpan w:val="3"/>
            <w:tcBorders/>
            <w:vAlign w:val="center"/>
          </w:tcPr>
          <w:p>
            <w:pPr>
              <w:pStyle w:val="TableContents"/>
              <w:bidi w:val="0"/>
              <w:spacing w:before="0" w:after="283"/>
              <w:jc w:val="left"/>
              <w:rPr>
                <w:sz w:val="4"/>
                <w:szCs w:val="4"/>
              </w:rPr>
            </w:pPr>
            <w:r>
              <w:rPr>
                <w:sz w:val="4"/>
                <w:szCs w:val="4"/>
              </w:rPr>
            </w:r>
          </w:p>
        </w:tc>
        <w:tc>
          <w:tcPr>
            <w:tcW w:w="7500"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7"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RSUs outstanding under our equity-based compensation plans during the nine months ended September 30, 2023 is presented below:</w:t>
      </w:r>
    </w:p>
    <w:tbl>
      <w:tblPr>
        <w:tblW w:w="9835" w:type="dxa"/>
        <w:jc w:val="center"/>
        <w:tblInd w:w="0" w:type="dxa"/>
        <w:tblLayout w:type="fixed"/>
        <w:tblCellMar>
          <w:top w:w="28" w:type="dxa"/>
          <w:left w:w="28" w:type="dxa"/>
          <w:bottom w:w="28" w:type="dxa"/>
          <w:right w:w="28" w:type="dxa"/>
        </w:tblCellMar>
      </w:tblPr>
      <w:tblGrid>
        <w:gridCol w:w="1255"/>
        <w:gridCol w:w="1103"/>
        <w:gridCol w:w="1106"/>
        <w:gridCol w:w="904"/>
        <w:gridCol w:w="904"/>
        <w:gridCol w:w="907"/>
        <w:gridCol w:w="109"/>
        <w:gridCol w:w="109"/>
        <w:gridCol w:w="109"/>
        <w:gridCol w:w="716"/>
        <w:gridCol w:w="2091"/>
        <w:gridCol w:w="522"/>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December 31, 2022</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September 30, 2023</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RSUs granted during the nine months ended September 30, 2023 and 2022 was $57.54 and $57.26, respectively. The fair value of each RSU grant is based on the market value of our common stock at the time of grant. As of September 30, 2023, we had $58 million in total unrecognized stock-based compensation expense relating to unvested RSUs that will be amortized over a weighted-average period of approximately two years. The fair value at vesting date of RSUs vested during the nine months ended September 30, 2023 and 2022 was $58 million and $72 million,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Junior Participating Preferred Stock and Rights Agreement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2018 Amended and Restated Rights Agreement, as described in Note 17 of our 2022 10-K, expired on June 19, 2023. Immediately prior to its expiration, no shares of Series A Junior Participating Preferred Stock were outstanding and no preferred share purchase rights had been exercised. At the time of the expiration of the agreement, the preferred share purchase rights expired and are no longer outstanding.</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2022, our Board of Directors approved a share repurchase program under which we are authorized to repurchase, from time to time through February 25, 2025, up to an aggregate amount of $750 million of our outstanding common stock. During the nine months ended September 30, 2023, we repurchased 2.1 million shares of common stock under the program at an aggregate cost of $146 million (including excise tax).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2022, SciPlay’s Board of Directors approved a share repurchase program under which it is authorized to repurchase, from time to time through May 9, 2024, up to an aggregate amount of $60 million of its outstanding Class A common stock. On May 3, 2023, SciPlay’s Board of Directors approved another share repurchase program under which it is authorized to repurchase, from time to time through May 3, 2024, up to an aggregate amount of $60 million of its outstanding Class A common stock. During the nine months ended September 30, 2023, SciPlay repurchased 1.4 million shares of Class A common stock under the programs at an aggregate cost of $23 million. As described in Note 1, on October 23, 2023, we completed the SciPlay Merger, and upon its completion, the SciPlay share repurchase program was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September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(including discrete items) was $14 million and $27 million for the three and nine months ended September 30, 2023, respectively, and $4 million and $8 million for the three and nine months ended September 30, 2022, respectively. In 2023, our effective tax rate differs from the U.S. statutory rate of 21% primarily as a result of certain non-deductible items including foreign exchange losses, offset by tax benefits from internal restructuring transactions in the first quarter of 2023. In all periods, we recorded tax expense relative to pre-tax earnings in jurisdictions without valuation allowances, including our former 17% noncontrolling interest in SciPlay.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28"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operating lease expense for the three and nine months ended September 30, 2023 was $6 million and $17 million, respectively, and $6 million and $16 million for the three and nine months ended September 30, 2022, respectively. The total amount of variable and short-term lease payments was immaterial for all periods presented.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and cash flow information related to operating leases is as follows:</w:t>
      </w:r>
    </w:p>
    <w:tbl>
      <w:tblPr>
        <w:tblW w:w="9602" w:type="dxa"/>
        <w:jc w:val="center"/>
        <w:tblInd w:w="0" w:type="dxa"/>
        <w:tblLayout w:type="fixed"/>
        <w:tblCellMar>
          <w:top w:w="28" w:type="dxa"/>
          <w:left w:w="28" w:type="dxa"/>
          <w:bottom w:w="28" w:type="dxa"/>
          <w:right w:w="28" w:type="dxa"/>
        </w:tblCellMar>
      </w:tblPr>
      <w:tblGrid>
        <w:gridCol w:w="2124"/>
        <w:gridCol w:w="1865"/>
        <w:gridCol w:w="1875"/>
        <w:gridCol w:w="401"/>
        <w:gridCol w:w="686"/>
        <w:gridCol w:w="517"/>
        <w:gridCol w:w="109"/>
        <w:gridCol w:w="109"/>
        <w:gridCol w:w="109"/>
        <w:gridCol w:w="386"/>
        <w:gridCol w:w="660"/>
        <w:gridCol w:w="498"/>
        <w:gridCol w:w="109"/>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units in years</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5"/>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32"/>
        <w:gridCol w:w="379"/>
        <w:gridCol w:w="382"/>
        <w:gridCol w:w="462"/>
        <w:gridCol w:w="561"/>
        <w:gridCol w:w="238"/>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335"/>
        <w:gridCol w:w="407"/>
        <w:gridCol w:w="174"/>
        <w:gridCol w:w="109"/>
        <w:gridCol w:w="109"/>
        <w:gridCol w:w="109"/>
        <w:gridCol w:w="463"/>
        <w:gridCol w:w="596"/>
        <w:gridCol w:w="241"/>
        <w:gridCol w:w="109"/>
        <w:gridCol w:w="109"/>
        <w:gridCol w:w="109"/>
        <w:gridCol w:w="211"/>
        <w:gridCol w:w="361"/>
        <w:gridCol w:w="160"/>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(16)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which are described below.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$11 million for all of our legal matters that were contingencies as of September 30, 2023 and December 31, 2022.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herein as well as those related to the previously disclosed settlement agreement entered into in February 2015 with SNAI S.p.a., as to which a loss is reasonably possible, whether in excess of a related accrued liability or where there is no accrued liability, and for which we are able to estimate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29"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Colombia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$5.0 million if certain levels of lottery sales were not achieved. In addition, LNWI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Columbian Constitutional Court received the record of the constitutional appeal for further consideration, and on September 26, 2023, that court selected LNWI’s constitutional appeal for further consideration.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0"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TCS John Huxley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which is pending. We are unable at this time to estimate a range of reasonably possible losses above the amount we have accrued for this matter due to the complexity of the plaintiffs’ claims, and the unpredictability of the outcome of the proceedings in the district court, and on any appeal therefrom.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Tonkawa Tribe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Giuliano and Rancho’s Club Casino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1"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 reasonably possible losses, if any. We believe that the claims in the consolidated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Mohawk Gaming Enterprises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We are currently unable to determine the likelihood of an outcome or estimate a range of reasonably possible losses, if any. We believe that the claims in the arbitration demand are without merit, and intend to vigorously defend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2"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Boorn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15, 2022, plaintiff Hannelore Boorn filed a putative class action against L&amp;W, SciPlay Corporation, and Appchi Media Ltd. in the Fayette Circuit Court of the Commonwealth of Kentucky. In her complaint, plaintiff seeks to represent a putative class of all persons in Kentucky who, within the past five years, purchased and allegedly lost $5.00 or more worth of chips, in a 24-hour period, playing SciPlay’s online social casino games. The complaint asserts claims for alleged violations of Kentucky’s “recovery of gambling losses” statute and for unjust enrichment, and seeks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the plaintiff filed a notice voluntarily dismissing the lawsuit without prejudice. On October 27, 2022, the district court entered an order dismissing the lawsuit. On November 17, 2022, the plaintiff filed an arbitration demand against defendants before the American Arbitration Association, pursuant to which she seeks declaratory judgments that (1) SciPlay’s online social casino games constitute gambling under Kentucky law, and (2) SciPlay’s terms of service are void under Kentucky law. On January 12, 2023, the respondents filed their answering statement to plaintiff’s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Allah Beautiful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claimant Prince Imanifest Allah Beautiful filed an arbitration demand against respondent SciPlay Corporation before the American Arbitration Association. The complaint asserts claims for alleged violations of New Jersey’s anti-gambling statutes and seeks unspecified money damages, including recovery of monies allegedly lost by New Jersey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Sprinkle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12, 2022, claimant Matthew Sprinkle filed an arbitration demand against respondent SciPlay Corporation before the American Arbitration Association. The complaint asserts claims for alleged violations of Ohio’s anti-gambling statutes and seeks unspecified money damages, including recovery of monies allegedly lost by Ohio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Sornberger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Roberts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2023, claimant Donovan Roberts filed an arbitration demand against respondent SciPlay Corporation before the American Arbitration Association. The complaint asserts claims for alleged violations of Kentucky’s anti-gambling statutes and seeks unspecified money damages, including recovery of monies allegedly lost by Kentucky players of SciPlay’s online social casino games other than the claimant. On October 6,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3"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Ebersole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2023, claimant Christopher Ebersole filed an arbitration demand against respondent SciPlay Corporation before the American Arbitration Association. The complaint asserts claims for alleged violations of Ohio’s anti-gambling statutes and seeks unspecified money damages, including recovery of monies allegedly lost by Ohio players of SciPlay’s online social casino games other than the claimant. On October 12,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Murnaghan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2023, claimant Hope Murnaghan filed an arbitration demand against respondent SciPlay Corporation before the American Arbitration Association. The complaint asserts claims for alleged violations of Massachusetts’ anti-gambling statutes and seeks unspecified money damages, including recovery of monies allegedly lost by Massachusetts players of SciPlay’s online social casino games other than the claimant. On October 12,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4"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 xml:space="preserve">Condensed Consolidated Financial Statements” and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Risk Factors” in this Quarterly Report on Form 10-Q and under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 xml:space="preserve">Business,”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 xml:space="preserve">Risk Factors” and </w:t>
      </w:r>
      <w:r>
        <w:rPr>
          <w:rFonts w:ascii="Times New Roman;sans-serif" w:hAnsi="Times New Roman;sans-serif"/>
          <w:b w:val="false"/>
          <w:i/>
          <w:color w:val="000000"/>
          <w:sz w:val="20"/>
        </w:rPr>
        <w:t>Part II, 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2022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As more fully described in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Business” in our 2022 10-K, we are executing on our s</w:t>
      </w:r>
      <w:r>
        <w:rPr>
          <w:rFonts w:ascii="Times New Roman;sans-serif" w:hAnsi="Times New Roman;sans-serif"/>
          <w:b w:val="false"/>
          <w:color w:val="000000"/>
          <w:sz w:val="20"/>
          <w:shd w:fill="FFFFFF" w:val="clear"/>
        </w:rPr>
        <w:t xml:space="preserve">trategy to become a leading cross-platform global games company with a focus on content and digital markets. </w:t>
      </w:r>
      <w:r>
        <w:rPr>
          <w:rFonts w:ascii="Times New Roman;sans-serif" w:hAnsi="Times New Roman;sans-serif"/>
          <w:b w:val="false"/>
          <w:color w:val="000000"/>
          <w:sz w:val="20"/>
        </w:rPr>
        <w:t>We report our results of operations in three business segments—Gaming, SciPlay and iGaming—representing our different products and services. See “Business Segments Results” below and Note 4 for additional business segment information.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substantially recovered from the impacts of the COVID-19 pandemic in 2020 and 2021; however, lingering impacts on supply chains in numerous industries have caused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primary Nasdaq listing, our common stock is listed as CDIs on the ASX and commenced active trading on May 22, 2023 (AEST) under the ticker symbol “LNW.” We believe this secondary listing is creating substantial benefits for L&amp;W and its shareholders, including enhancing the Company’s profile in Australia, one of the leading markets for the L&amp;W’s Gaming business, and providing the Company access to new long-term Australian institutional investors that complement our strong existing base of shareholders.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We completed the third quarter of 2023 maintaining strong momentum and delivered a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consecutive quarter of consolidated revenue growth and fifth consecutive quarter of double-digit growth year-over-year, continuing advancement on our strategic plan and toward our long-term financial targets. Consolidated revenue growth was driven by double-digit growth across all of our businesses, including a fifth consecutive quarter of record revenues for SciPlay, and iGaming revenue held at a quarterly record level. We have returned $112 million of capital to shareholders through the repurchase of 1.5 million shares of common stock during the three months ended September 30, 2023, and since the initiation of the share repurchase program, we have returned a total of $550 million of capital to shareholders by repurchasing 9.1 million shares of common stock, or 73% of total program authorization.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on October 23, 2023, we acquired the remaining approximately 17% equity interest in SciPlay not already owned by us pursuant to the SciPlay Merger in an all-cash transaction for $496 million, excluding transaction fees and expenses. As a result of the SciPlay Merger, SciPlay ceased to be publicly traded and became a wholly owned subsidiary of L&amp;W. We believe that this transaction will enable seamless collaboration with SciPlay that will add further momentum to our already robust cross-platform strategy, provide flexibility for use of SciPlay cash flows for investments across the enterprise, and facilitate long-term margin enhancement opportunities via synergies, all of which are expected to increase long-term shareholder value.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35"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have an adverse impact on our business if these events continue and/or escalate. Refer to “Risk Factors” under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CONSOLIDATED RESULTS</w:t>
      </w:r>
    </w:p>
    <w:tbl>
      <w:tblPr>
        <w:tblW w:w="10205" w:type="dxa"/>
        <w:jc w:val="center"/>
        <w:tblInd w:w="0" w:type="dxa"/>
        <w:tblLayout w:type="fixed"/>
        <w:tblCellMar>
          <w:top w:w="28" w:type="dxa"/>
          <w:left w:w="28" w:type="dxa"/>
          <w:bottom w:w="28" w:type="dxa"/>
          <w:right w:w="28" w:type="dxa"/>
        </w:tblCellMar>
      </w:tblPr>
      <w:tblGrid>
        <w:gridCol w:w="791"/>
        <w:gridCol w:w="302"/>
        <w:gridCol w:w="304"/>
        <w:gridCol w:w="213"/>
        <w:gridCol w:w="470"/>
        <w:gridCol w:w="110"/>
        <w:gridCol w:w="110"/>
        <w:gridCol w:w="110"/>
        <w:gridCol w:w="110"/>
        <w:gridCol w:w="213"/>
        <w:gridCol w:w="470"/>
        <w:gridCol w:w="110"/>
        <w:gridCol w:w="110"/>
        <w:gridCol w:w="110"/>
        <w:gridCol w:w="110"/>
        <w:gridCol w:w="213"/>
        <w:gridCol w:w="364"/>
        <w:gridCol w:w="110"/>
        <w:gridCol w:w="110"/>
        <w:gridCol w:w="110"/>
        <w:gridCol w:w="110"/>
        <w:gridCol w:w="234"/>
        <w:gridCol w:w="236"/>
        <w:gridCol w:w="273"/>
        <w:gridCol w:w="110"/>
        <w:gridCol w:w="110"/>
        <w:gridCol w:w="110"/>
        <w:gridCol w:w="213"/>
        <w:gridCol w:w="622"/>
        <w:gridCol w:w="110"/>
        <w:gridCol w:w="110"/>
        <w:gridCol w:w="110"/>
        <w:gridCol w:w="110"/>
        <w:gridCol w:w="213"/>
        <w:gridCol w:w="622"/>
        <w:gridCol w:w="110"/>
        <w:gridCol w:w="110"/>
        <w:gridCol w:w="110"/>
        <w:gridCol w:w="110"/>
        <w:gridCol w:w="213"/>
        <w:gridCol w:w="471"/>
        <w:gridCol w:w="110"/>
        <w:gridCol w:w="110"/>
        <w:gridCol w:w="110"/>
        <w:gridCol w:w="110"/>
        <w:gridCol w:w="234"/>
        <w:gridCol w:w="236"/>
        <w:gridCol w:w="328"/>
      </w:tblGrid>
      <w:tr>
        <w:trPr/>
        <w:tc>
          <w:tcPr>
            <w:tcW w:w="79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before income taxes</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 from discontinued operations, net of tax</w:t>
            </w:r>
            <w:r>
              <w:rPr>
                <w:rFonts w:ascii="Times New Roman;sans-serif" w:hAnsi="Times New Roman;sans-serif"/>
                <w:b w:val="false"/>
                <w:color w:val="000000"/>
                <w:sz w:val="13"/>
              </w:rPr>
              <w:t>(1)</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L&amp;W</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three months ended September 30, 2022 include a pre-tax gain of $362 million on the sale of the Sports Betting Business, and the nine months ended September 30, 2022 include a total pre-tax gain of $4,930 million on the Divestitures (see Note 2).</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606"/>
        <w:gridCol w:w="1408"/>
        <w:gridCol w:w="1408"/>
        <w:gridCol w:w="410"/>
        <w:gridCol w:w="410"/>
        <w:gridCol w:w="410"/>
        <w:gridCol w:w="1407"/>
        <w:gridCol w:w="1407"/>
        <w:gridCol w:w="1472"/>
        <w:gridCol w:w="109"/>
        <w:gridCol w:w="158"/>
      </w:tblGrid>
      <w:tr>
        <w:trPr/>
        <w:tc>
          <w:tcPr>
            <w:tcW w:w="160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Revenue by Business Segment</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c>
          <w:tcPr>
            <w:tcW w:w="267" w:type="dxa"/>
            <w:gridSpan w:val="2"/>
            <w:tcBorders/>
          </w:tcPr>
          <w:p>
            <w:pPr>
              <w:pStyle w:val="TableContents"/>
              <w:bidi w:val="0"/>
              <w:spacing w:before="0" w:after="283"/>
              <w:jc w:val="left"/>
              <w:rPr>
                <w:sz w:val="4"/>
                <w:szCs w:val="4"/>
              </w:rPr>
            </w:pPr>
            <w:r>
              <w:rPr>
                <w:sz w:val="4"/>
                <w:szCs w:val="4"/>
              </w:rPr>
            </w:r>
          </w:p>
        </w:tc>
      </w:tr>
      <w:tr>
        <w:trPr/>
        <w:tc>
          <w:tcPr>
            <w:tcW w:w="4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 and 2022</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 and 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3238500" cy="1905000"/>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5"/>
                    <a:stretch>
                      <a:fillRect/>
                    </a:stretch>
                  </pic:blipFill>
                  <pic:spPr bwMode="auto">
                    <a:xfrm>
                      <a:off x="0" y="0"/>
                      <a:ext cx="3238500" cy="1905000"/>
                    </a:xfrm>
                    <a:prstGeom prst="rect">
                      <a:avLst/>
                    </a:prstGeom>
                  </pic:spPr>
                </pic:pic>
              </a:graphicData>
            </a:graphic>
          </wp:inline>
        </w:drawing>
      </w:r>
      <w:r>
        <w:rPr/>
        <w:drawing>
          <wp:inline distT="0" distB="0" distL="0" distR="0">
            <wp:extent cx="3238500" cy="1905000"/>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3238500" cy="1905000"/>
                    </a:xfrm>
                    <a:prstGeom prst="rect">
                      <a:avLst/>
                    </a:prstGeom>
                  </pic:spPr>
                </pic:pic>
              </a:graphicData>
            </a:graphic>
          </wp:inline>
        </w:drawing>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revenue growth of 11% and 16% for the three and nine months ended September 30, 2023, respectively, was primarily driven by continued momentum in global Gaming machine sales, coupled with stronger performance in our U.S. and Canada premium install base, and increased demand for Table products and Systems.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SciPlay revenue increased 15% and 17% for the three and nine months ended September 30, 2023, respectively. Average revenue per daily active user grew 20% and 22% for the three and nine months ended September 30, 2023, respectively, reaching a new record high of $0.96 for the three months ended September 30, 2023. Social casino payer engagement and average monthly paying users also increased for both periods.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increases in iGaming revenue of 21% and 15% for the three and nine months ended September 30, 2023, respectively, were driven by growth both in the U.S. and international markets from the strength of our original content and benefited from $3 million and $5 million, respectively, in certain termination fees. In October 2023, we launched our live casino operations in Michigan, reaching a strategic market expansion milestone for our iGaming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38"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10205" w:type="dxa"/>
        <w:jc w:val="center"/>
        <w:tblInd w:w="0" w:type="dxa"/>
        <w:tblLayout w:type="fixed"/>
        <w:tblCellMar>
          <w:top w:w="28" w:type="dxa"/>
          <w:left w:w="28" w:type="dxa"/>
          <w:bottom w:w="28" w:type="dxa"/>
          <w:right w:w="28" w:type="dxa"/>
        </w:tblCellMar>
      </w:tblPr>
      <w:tblGrid>
        <w:gridCol w:w="743"/>
        <w:gridCol w:w="532"/>
        <w:gridCol w:w="372"/>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91"/>
        <w:gridCol w:w="193"/>
        <w:gridCol w:w="27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91"/>
        <w:gridCol w:w="193"/>
        <w:gridCol w:w="319"/>
      </w:tblGrid>
      <w:tr>
        <w:trPr/>
        <w:tc>
          <w:tcPr>
            <w:tcW w:w="74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8558" w:type="dxa"/>
            <w:gridSpan w:val="45"/>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8558" w:type="dxa"/>
            <w:gridSpan w:val="45"/>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8558"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for the three and nine months ended September 30, 2023 increased as a direct result of higher revenue as described above, driven by $13 million and $56 million, respectively, in higher cost of product revenue primarily associated with higher gaming machine sales. In addition, we recognized $8 million and $27 million for the three and nine months ended September 30, 2023, respectively, in higher cost of services for our SciPlay business segment correlated with revenue growth.</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SG&amp;A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increased for the three and nine months ended September 30, 2023 as compared to the prior year periods, primarily due to higher stock-based compensation expense of $17 million and $38 million, respectively, higher legal expenses of $3 million and $12 million, respectively, and higher salaries and benefits of $2 million and $5 million,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R&amp;D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remained relatively flat for the three months ended September 30, 2023, and the slight increase for the nine months ended September 30, 2023 was due to higher salaries and benefits in our SciPlay segment.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D&amp;A decreased for the three and nine months ended September 30, 2023, primarily due to fully depreciated assets and amortization of intangible assets related to past acquisitions associated with our Gaming and iGaming segments. The decrease in the nine months ended September 30, 2023 was partially offset by an impairment charge of $5 million related to SciPlay restructuring of a certain foreign studio.</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restructuring and other for the three and nine months ended September 30, 2023, as compared to the prior year periods, was primarily due to lower professional services, legal and other costs related to the strategic review and related transactions (see Note 5). The three and nine months ended September 30, 2023 included $3 million in costs associated with the SciPlay Merger, the nine months ended September 30, 2023 included $7 million in professional services associated with the ASX listing, and the nine months ended September 30, 2023 and 2022 included contingent consideration remeasurement charges of $10 million and $12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39"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Factors Affecting Net Income Attributable to L&amp;W</w:t>
      </w:r>
    </w:p>
    <w:tbl>
      <w:tblPr>
        <w:tblW w:w="10205" w:type="dxa"/>
        <w:jc w:val="center"/>
        <w:tblInd w:w="0" w:type="dxa"/>
        <w:tblLayout w:type="fixed"/>
        <w:tblCellMar>
          <w:top w:w="28" w:type="dxa"/>
          <w:left w:w="28" w:type="dxa"/>
          <w:bottom w:w="28" w:type="dxa"/>
          <w:right w:w="28" w:type="dxa"/>
        </w:tblCellMar>
      </w:tblPr>
      <w:tblGrid>
        <w:gridCol w:w="802"/>
        <w:gridCol w:w="419"/>
        <w:gridCol w:w="313"/>
        <w:gridCol w:w="222"/>
        <w:gridCol w:w="405"/>
        <w:gridCol w:w="114"/>
        <w:gridCol w:w="114"/>
        <w:gridCol w:w="114"/>
        <w:gridCol w:w="114"/>
        <w:gridCol w:w="222"/>
        <w:gridCol w:w="405"/>
        <w:gridCol w:w="114"/>
        <w:gridCol w:w="109"/>
        <w:gridCol w:w="109"/>
        <w:gridCol w:w="109"/>
        <w:gridCol w:w="218"/>
        <w:gridCol w:w="505"/>
        <w:gridCol w:w="112"/>
        <w:gridCol w:w="112"/>
        <w:gridCol w:w="112"/>
        <w:gridCol w:w="112"/>
        <w:gridCol w:w="218"/>
        <w:gridCol w:w="505"/>
        <w:gridCol w:w="112"/>
        <w:gridCol w:w="109"/>
        <w:gridCol w:w="109"/>
        <w:gridCol w:w="109"/>
        <w:gridCol w:w="1441"/>
        <w:gridCol w:w="1129"/>
        <w:gridCol w:w="1617"/>
      </w:tblGrid>
      <w:tr>
        <w:trPr/>
        <w:tc>
          <w:tcPr>
            <w:tcW w:w="8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Factors Affecting Net Income Attributable to L&amp;W</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interest expense for the three months ended September 30, 2023 is primarily due to rising interest rates impacting the LNWI Term Loan B. The decrease in interest expense for the nine months ended September 30, 2023 is primarily due to lower outstanding debt resulting from the redemption of certain senior notes and refinancing through the LNWI Credit Agreement completed in the second quarter of 2022.</w:t>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 included charges of $12 million in the third quarter of 2023 and $90 million in the second quarter of 2022 associated with premiums paid to redeem certain senior notes (see Note 11).</w:t>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are attributable to remeasurement of previously held Euro-denominated senior notes and reflect changes in the Euro vs. the U.S. Dollar foreign exchange rates. These notes were redeemed during the second quarter of 2022.</w:t>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other income was primarily due to the impact of changes in foreign currency exchange rates.</w:t>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(F/X)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tbl>
      <w:tblPr>
        <w:tblW w:w="11803" w:type="dxa"/>
        <w:jc w:val="center"/>
        <w:tblInd w:w="0" w:type="dxa"/>
        <w:tblLayout w:type="fixed"/>
        <w:tblCellMar>
          <w:top w:w="28" w:type="dxa"/>
          <w:left w:w="28" w:type="dxa"/>
          <w:bottom w:w="28" w:type="dxa"/>
          <w:right w:w="28" w:type="dxa"/>
        </w:tblCellMar>
      </w:tblPr>
      <w:tblGrid>
        <w:gridCol w:w="501"/>
        <w:gridCol w:w="229"/>
        <w:gridCol w:w="231"/>
        <w:gridCol w:w="237"/>
        <w:gridCol w:w="406"/>
        <w:gridCol w:w="123"/>
        <w:gridCol w:w="109"/>
        <w:gridCol w:w="109"/>
        <w:gridCol w:w="109"/>
        <w:gridCol w:w="301"/>
        <w:gridCol w:w="301"/>
        <w:gridCol w:w="749"/>
        <w:gridCol w:w="109"/>
        <w:gridCol w:w="109"/>
        <w:gridCol w:w="109"/>
        <w:gridCol w:w="237"/>
        <w:gridCol w:w="406"/>
        <w:gridCol w:w="123"/>
        <w:gridCol w:w="109"/>
        <w:gridCol w:w="109"/>
        <w:gridCol w:w="109"/>
        <w:gridCol w:w="301"/>
        <w:gridCol w:w="301"/>
        <w:gridCol w:w="749"/>
        <w:gridCol w:w="109"/>
        <w:gridCol w:w="109"/>
        <w:gridCol w:w="109"/>
        <w:gridCol w:w="211"/>
        <w:gridCol w:w="466"/>
        <w:gridCol w:w="109"/>
        <w:gridCol w:w="109"/>
        <w:gridCol w:w="109"/>
        <w:gridCol w:w="109"/>
        <w:gridCol w:w="301"/>
        <w:gridCol w:w="301"/>
        <w:gridCol w:w="749"/>
        <w:gridCol w:w="109"/>
        <w:gridCol w:w="109"/>
        <w:gridCol w:w="109"/>
        <w:gridCol w:w="211"/>
        <w:gridCol w:w="466"/>
        <w:gridCol w:w="109"/>
        <w:gridCol w:w="109"/>
        <w:gridCol w:w="109"/>
        <w:gridCol w:w="109"/>
        <w:gridCol w:w="284"/>
        <w:gridCol w:w="284"/>
        <w:gridCol w:w="828"/>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BUSINESS SEGMENTS RESULTS (</w:t>
      </w:r>
      <w:r>
        <w:rPr>
          <w:rFonts w:ascii="Times New Roman;sans-serif" w:hAnsi="Times New Roman;sans-serif"/>
          <w:b/>
          <w:i/>
          <w:color w:val="000000"/>
          <w:sz w:val="20"/>
        </w:rPr>
        <w:t>for the three and nine months ended September 30, 2023 compared to the three and nine months ended September 30, 2022)</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Gaming revenue from both services and products.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refer to the Gaming primary business activities summary included within “Business Segment Results” under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of our 2022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0"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see elevated demand for our Gaming products and services, while Gaming operations and Gaming machine sales have performed above pre-COVID levels. The increase in Gaming revenue for the three and nine months ended September 30, 2023, as compared to the prior year periods, was primarily driven by continued momentum in Gaming machine sales growing 23% and 37%, respectively, coupled with growth in Table products and Systems. Gaming operations also benefited from higher average daily revenue per unit, the continued success of our cabinets and strong game content performance. While demand remains strong, we are actively monitoring any impact of inflationary pressures and macroeconomic uncertainty that may impact our operations. We have experienced and continue to expect some level of supply chain volatility that could impact our ability to meet demand for our products and delay the timing of fulfillment and revenue recognition of orders.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5265" w:type="dxa"/>
        <w:jc w:val="center"/>
        <w:tblInd w:w="0" w:type="dxa"/>
        <w:tblLayout w:type="fixed"/>
        <w:tblCellMar>
          <w:top w:w="28" w:type="dxa"/>
          <w:left w:w="28" w:type="dxa"/>
          <w:bottom w:w="28" w:type="dxa"/>
          <w:right w:w="28" w:type="dxa"/>
        </w:tblCellMar>
      </w:tblPr>
      <w:tblGrid>
        <w:gridCol w:w="1684"/>
        <w:gridCol w:w="1480"/>
        <w:gridCol w:w="2101"/>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 2023 and 2022</w:t>
            </w:r>
          </w:p>
        </w:tc>
      </w:tr>
    </w:tbl>
    <w:p>
      <w:pPr>
        <w:pStyle w:val="TextBody"/>
        <w:bidi w:val="0"/>
        <w:spacing w:before="0" w:after="160"/>
        <w:jc w:val="center"/>
        <w:rPr/>
      </w:pPr>
      <w:r>
        <w:rPr/>
        <w:drawing>
          <wp:inline distT="0" distB="0" distL="0" distR="0">
            <wp:extent cx="2152650" cy="3105150"/>
            <wp:effectExtent l="0" t="0" r="0" b="0"/>
            <wp:docPr id="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 descr=""/>
                    <pic:cNvPicPr>
                      <a:picLocks noChangeAspect="1" noChangeArrowheads="1"/>
                    </pic:cNvPicPr>
                  </pic:nvPicPr>
                  <pic:blipFill>
                    <a:blip r:embed="rId7"/>
                    <a:stretch>
                      <a:fillRect/>
                    </a:stretch>
                  </pic:blipFill>
                  <pic:spPr bwMode="auto">
                    <a:xfrm>
                      <a:off x="0" y="0"/>
                      <a:ext cx="2152650" cy="3105150"/>
                    </a:xfrm>
                    <a:prstGeom prst="rect">
                      <a:avLst/>
                    </a:prstGeom>
                  </pic:spPr>
                </pic:pic>
              </a:graphicData>
            </a:graphic>
          </wp:inline>
        </w:drawing>
      </w:r>
      <w:r>
        <w:rPr/>
        <w:drawing>
          <wp:inline distT="0" distB="0" distL="0" distR="0">
            <wp:extent cx="2152650" cy="3105150"/>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2152650" cy="3105150"/>
                    </a:xfrm>
                    <a:prstGeom prst="rect">
                      <a:avLst/>
                    </a:prstGeom>
                  </pic:spPr>
                </pic:pic>
              </a:graphicData>
            </a:graphic>
          </wp:inline>
        </w:drawing>
      </w:r>
      <w:r>
        <w:rPr/>
        <w:drawing>
          <wp:inline distT="0" distB="0" distL="0" distR="0">
            <wp:extent cx="2152650" cy="3105150"/>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9"/>
                    <a:stretch>
                      <a:fillRect/>
                    </a:stretch>
                  </pic:blipFill>
                  <pic:spPr bwMode="auto">
                    <a:xfrm>
                      <a:off x="0" y="0"/>
                      <a:ext cx="2152650" cy="31051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4"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60"/>
        <w:jc w:val="left"/>
        <w:rPr/>
      </w:pPr>
      <w:r>
        <w:rPr/>
      </w:r>
    </w:p>
    <w:tbl>
      <w:tblPr>
        <w:tblW w:w="10715" w:type="dxa"/>
        <w:jc w:val="center"/>
        <w:tblInd w:w="0" w:type="dxa"/>
        <w:tblLayout w:type="fixed"/>
        <w:tblCellMar>
          <w:top w:w="28" w:type="dxa"/>
          <w:left w:w="28" w:type="dxa"/>
          <w:bottom w:w="28" w:type="dxa"/>
          <w:right w:w="28" w:type="dxa"/>
        </w:tblCellMar>
      </w:tblPr>
      <w:tblGrid>
        <w:gridCol w:w="618"/>
        <w:gridCol w:w="322"/>
        <w:gridCol w:w="231"/>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232"/>
        <w:gridCol w:w="234"/>
        <w:gridCol w:w="271"/>
        <w:gridCol w:w="109"/>
        <w:gridCol w:w="109"/>
        <w:gridCol w:w="109"/>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187"/>
        <w:gridCol w:w="189"/>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Machine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F/X impact 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 KPIs: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 units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unit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new unit shipments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new unit shipments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unit shipments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sales price per new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5"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Units exclude those related to game content licensing.</w:t>
            </w:r>
          </w:p>
        </w:tc>
      </w:tr>
    </w:tbl>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 revenue for both current year periods demonstrated continued momentum driven by strong game performance of hit franchises and premium games. Average daily revenue per unit for U.S. and Canada increased by $1.89 and $1.81 for the three and nine months ended September 30, 2023, respectively, and for International units it increased by $1.62 and $1.62, respectively. Gaming operations for U.S. and Canada had a 499-unit increase in installed base, mainly due to growth in our premium games, partially offset by reductions in our public gaming and leased core products. International ending installed base decreased by 5,658 units primarily due to the expected closure of certain LBOs in the U.K. along with the reduction of certain low-yielding units in Greece and Latin America.</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Machine Sales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Gaming machine sales revenue increased as operator capital spending returned to more normalized levels. The increases for the three and nine months ended September 30, 2023, as compared to prior periods, were due to higher sales of replacement units globally of 1,391 and 4,980, respectively, shipments of additional units into international new opening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5"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expansion markets of 649 and 2,255, respectively, and higher average sales price per new unit mainly due to favorable shifts in product mix. The following table summarizes Gaming machine sales changes:</w:t>
      </w:r>
    </w:p>
    <w:tbl>
      <w:tblPr>
        <w:tblW w:w="10205" w:type="dxa"/>
        <w:jc w:val="center"/>
        <w:tblInd w:w="0" w:type="dxa"/>
        <w:tblLayout w:type="fixed"/>
        <w:tblCellMar>
          <w:top w:w="28" w:type="dxa"/>
          <w:left w:w="28" w:type="dxa"/>
          <w:bottom w:w="28" w:type="dxa"/>
          <w:right w:w="28" w:type="dxa"/>
        </w:tblCellMar>
      </w:tblPr>
      <w:tblGrid>
        <w:gridCol w:w="680"/>
        <w:gridCol w:w="426"/>
        <w:gridCol w:w="429"/>
        <w:gridCol w:w="336"/>
        <w:gridCol w:w="280"/>
        <w:gridCol w:w="124"/>
        <w:gridCol w:w="124"/>
        <w:gridCol w:w="124"/>
        <w:gridCol w:w="124"/>
        <w:gridCol w:w="336"/>
        <w:gridCol w:w="280"/>
        <w:gridCol w:w="124"/>
        <w:gridCol w:w="109"/>
        <w:gridCol w:w="109"/>
        <w:gridCol w:w="109"/>
        <w:gridCol w:w="307"/>
        <w:gridCol w:w="309"/>
        <w:gridCol w:w="109"/>
        <w:gridCol w:w="109"/>
        <w:gridCol w:w="109"/>
        <w:gridCol w:w="109"/>
        <w:gridCol w:w="231"/>
        <w:gridCol w:w="235"/>
        <w:gridCol w:w="271"/>
        <w:gridCol w:w="109"/>
        <w:gridCol w:w="109"/>
        <w:gridCol w:w="109"/>
        <w:gridCol w:w="373"/>
        <w:gridCol w:w="348"/>
        <w:gridCol w:w="123"/>
        <w:gridCol w:w="123"/>
        <w:gridCol w:w="123"/>
        <w:gridCol w:w="123"/>
        <w:gridCol w:w="373"/>
        <w:gridCol w:w="348"/>
        <w:gridCol w:w="123"/>
        <w:gridCol w:w="109"/>
        <w:gridCol w:w="109"/>
        <w:gridCol w:w="109"/>
        <w:gridCol w:w="308"/>
        <w:gridCol w:w="308"/>
        <w:gridCol w:w="109"/>
        <w:gridCol w:w="109"/>
        <w:gridCol w:w="109"/>
        <w:gridCol w:w="109"/>
        <w:gridCol w:w="306"/>
        <w:gridCol w:w="310"/>
        <w:gridCol w:w="323"/>
      </w:tblGrid>
      <w:tr>
        <w:trPr/>
        <w:tc>
          <w:tcPr>
            <w:tcW w:w="68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 shipments:</w:t>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 shipments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unit shipments:</w:t>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 shipments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8670" w:type="dxa"/>
            <w:gridSpan w:val="45"/>
            <w:tcBorders/>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8670"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months ended September 30, 2023 decreased by $1 million, as compared to the corresponding prior year period, primarily due to lower D&amp;A of $19 million as a result of fully depreciated and amortized assets, partially offset by $14 million in higher cost of revenue associated with the increase in revenue and $5 million in higher SG&amp;A costs. Operating expenses for the nine months ended September 30, 2023 increased by $64 million, as compared to the corresponding prior year period, as a result of $68 million in higher cost of revenue associated with the increase in revenue as described above and $23 million in higher SG&amp;A and restructuring and other costs, partially offset by lower D&amp;A of $27 million.</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as compared to the prior year periods, AEBITDA increased by $33 million and $121 million, respectively, which is primarily related to increased revenue, and AEBITDA as a percentage of revenue (“AEBITDA margin”) increased by 3 percentage points to 51% and 50%, respectively, primarily driven by favorable revenue mix as well as margin enhancement initiatives. AEBITDA also benefited from a change in the incentive compensation mix from cash to equity awards, resulting in a $4 million and $8 million benefit, respectively, as well as lower legal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SCIPLAY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 SciPlay generates a substantial portion of its revenue from in-app purchases in the form of virtual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Players who install SciPlay’s hyper-casual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SciPlay currently offers a variety of social casino games, including </w:t>
      </w:r>
      <w:r>
        <w:rPr>
          <w:rFonts w:ascii="Times New Roman;sans-serif" w:hAnsi="Times New Roman;sans-serif"/>
          <w:b w:val="false"/>
          <w:i/>
          <w:color w:val="000000"/>
          <w:sz w:val="20"/>
        </w:rPr>
        <w:t>JACKPOT PARTY</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Casino</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GOLD FISH</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Casino</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QUICK HIT</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i/>
          <w:color w:val="000000"/>
          <w:sz w:val="20"/>
        </w:rPr>
        <w:t>lots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88 FORTUNES</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Slots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MONOPOLY Slots,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HOT SHOT CASINO</w:t>
      </w:r>
      <w:r>
        <w:rPr>
          <w:rFonts w:ascii="Times New Roman;sans-serif" w:hAnsi="Times New Roman;sans-serif"/>
          <w:b w:val="false"/>
          <w:i/>
          <w:color w:val="000000"/>
          <w:sz w:val="13"/>
        </w:rPr>
        <w:t>®</w:t>
      </w:r>
      <w:r>
        <w:rPr>
          <w:rFonts w:ascii="Times New Roman;sans-serif" w:hAnsi="Times New Roman;sans-serif"/>
          <w:b w:val="false"/>
          <w:color w:val="000000"/>
          <w:sz w:val="20"/>
        </w:rPr>
        <w:t xml:space="preserve">. Our SciPlay business segment continues to pursue its strategy of expanding into the casual games market. Current casual game titles include </w:t>
      </w:r>
      <w:r>
        <w:rPr>
          <w:rFonts w:ascii="Times New Roman;sans-serif" w:hAnsi="Times New Roman;sans-serif"/>
          <w:b w:val="false"/>
          <w:i/>
          <w:color w:val="000000"/>
          <w:sz w:val="20"/>
        </w:rPr>
        <w:t>BINGO SHOWDOWN</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Backgammon Live</w:t>
      </w:r>
      <w:r>
        <w:rPr>
          <w:color w:val="000000"/>
        </w:rPr>
        <w:t xml:space="preserve"> </w:t>
      </w:r>
      <w:r>
        <w:rPr>
          <w:rFonts w:ascii="Times New Roman;sans-serif" w:hAnsi="Times New Roman;sans-serif"/>
          <w:b w:val="false"/>
          <w:color w:val="000000"/>
          <w:sz w:val="20"/>
        </w:rPr>
        <w:t xml:space="preserve">as well as other titles in the hyper-casual space, including games such as </w:t>
      </w:r>
      <w:r>
        <w:rPr>
          <w:rFonts w:ascii="Times New Roman;sans-serif" w:hAnsi="Times New Roman;sans-serif"/>
          <w:b w:val="false"/>
          <w:i/>
          <w:color w:val="000000"/>
          <w:sz w:val="20"/>
        </w:rPr>
        <w:t>CANDY CHALLENGE 3D™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BOSS LIFE™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DEEP CLEAN INC. 3D™</w:t>
      </w:r>
      <w:r>
        <w:rPr>
          <w:rFonts w:ascii="Times New Roman;sans-serif" w:hAnsi="Times New Roman;sans-serif"/>
          <w:b w:val="false"/>
          <w:color w:val="000000"/>
          <w:sz w:val="20"/>
        </w:rPr>
        <w:t xml:space="preserve">. During 2023, SciPlay continued development and testing of various new games.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sans-serif" w:hAnsi="Times New Roman;sans-serif"/>
          <w:b w:val="false"/>
          <w:i/>
          <w:color w:val="000000"/>
          <w:sz w:val="20"/>
        </w:rPr>
        <w:t>APPLE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GOOGLE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FACEBOOK</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AMAZON,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MICROSOFT</w:t>
      </w:r>
      <w:r>
        <w:rPr>
          <w:rFonts w:ascii="Times New Roman;sans-serif" w:hAnsi="Times New Roman;sans-serif"/>
          <w:b w:val="false"/>
          <w:color w:val="000000"/>
          <w:sz w:val="20"/>
        </w:rPr>
        <w:t xml:space="preserve">. In addition to SciPlay’s internally created game content, SciPlay’s content library includes recognizable game content from Light &amp; Wonder. This content allows players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6"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Times New Roman;sans-serif" w:hAnsi="Times New Roman;sans-serif"/>
          <w:b w:val="false"/>
          <w:i/>
          <w:color w:val="000000"/>
          <w:sz w:val="20"/>
        </w:rPr>
        <w:t>MONOPOLY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JAMES BOND™</w:t>
      </w:r>
      <w:r>
        <w:rPr>
          <w:rFonts w:ascii="Times New Roman;sans-serif" w:hAnsi="Times New Roman;sans-serif"/>
          <w:b w:val="false"/>
          <w:color w:val="000000"/>
          <w:sz w:val="20"/>
        </w:rPr>
        <w:t>. We believe that SciPlay’s access to this content, coupled with its years of experience developing in-house content, uniquely positions SciPlay to create compelling digital games.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SciPlay continues to see strong momentum and higher payer engagement in 2023. Revenue growth was primarily attributable to the social casino business, including games such as </w:t>
      </w:r>
      <w:r>
        <w:rPr>
          <w:rFonts w:ascii="Times New Roman;sans-serif" w:hAnsi="Times New Roman;sans-serif"/>
          <w:b w:val="false"/>
          <w:i/>
          <w:color w:val="000000"/>
          <w:sz w:val="20"/>
        </w:rPr>
        <w:t xml:space="preserve">Jackpot Party Casino, Quick Hit Slots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Gold Fish Casino</w:t>
      </w:r>
      <w:r>
        <w:rPr>
          <w:rFonts w:ascii="Times New Roman;sans-serif" w:hAnsi="Times New Roman;sans-serif"/>
          <w:b w:val="false"/>
          <w:color w:val="000000"/>
          <w:sz w:val="20"/>
        </w:rPr>
        <w:t>. SciPlay continues to deploy significant updates across a number of their portfolio games, execute on its strategic game updates and enhanced analytics, and pursue international expansion.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5265" w:type="dxa"/>
        <w:jc w:val="center"/>
        <w:tblInd w:w="0" w:type="dxa"/>
        <w:tblLayout w:type="fixed"/>
        <w:tblCellMar>
          <w:top w:w="28" w:type="dxa"/>
          <w:left w:w="28" w:type="dxa"/>
          <w:bottom w:w="28" w:type="dxa"/>
          <w:right w:w="28" w:type="dxa"/>
        </w:tblCellMar>
      </w:tblPr>
      <w:tblGrid>
        <w:gridCol w:w="1684"/>
        <w:gridCol w:w="1480"/>
        <w:gridCol w:w="2101"/>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 2023 and 2022</w:t>
            </w:r>
          </w:p>
        </w:tc>
      </w:tr>
    </w:tbl>
    <w:p>
      <w:pPr>
        <w:pStyle w:val="TextBody"/>
        <w:bidi w:val="0"/>
        <w:spacing w:before="0" w:after="160"/>
        <w:jc w:val="center"/>
        <w:rPr/>
      </w:pPr>
      <w:r>
        <w:rPr/>
        <w:drawing>
          <wp:inline distT="0" distB="0" distL="0" distR="0">
            <wp:extent cx="2152650" cy="2152650"/>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0"/>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1"/>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2"/>
                    <a:stretch>
                      <a:fillRect/>
                    </a:stretch>
                  </pic:blipFill>
                  <pic:spPr bwMode="auto">
                    <a:xfrm>
                      <a:off x="0" y="0"/>
                      <a:ext cx="2152650" cy="2152650"/>
                    </a:xfrm>
                    <a:prstGeom prst="rect">
                      <a:avLst/>
                    </a:prstGeom>
                  </pic:spPr>
                </pic:pic>
              </a:graphicData>
            </a:graphic>
          </wp:inline>
        </w:drawing>
      </w:r>
    </w:p>
    <w:tbl>
      <w:tblPr>
        <w:tblW w:w="11108" w:type="dxa"/>
        <w:jc w:val="center"/>
        <w:tblInd w:w="0" w:type="dxa"/>
        <w:tblLayout w:type="fixed"/>
        <w:tblCellMar>
          <w:top w:w="28" w:type="dxa"/>
          <w:left w:w="28" w:type="dxa"/>
          <w:bottom w:w="28" w:type="dxa"/>
          <w:right w:w="28" w:type="dxa"/>
        </w:tblCellMar>
      </w:tblPr>
      <w:tblGrid>
        <w:gridCol w:w="550"/>
        <w:gridCol w:w="272"/>
        <w:gridCol w:w="274"/>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02"/>
        <w:gridCol w:w="204"/>
        <w:gridCol w:w="271"/>
        <w:gridCol w:w="109"/>
        <w:gridCol w:w="109"/>
        <w:gridCol w:w="109"/>
        <w:gridCol w:w="211"/>
        <w:gridCol w:w="721"/>
        <w:gridCol w:w="271"/>
        <w:gridCol w:w="109"/>
        <w:gridCol w:w="109"/>
        <w:gridCol w:w="109"/>
        <w:gridCol w:w="211"/>
        <w:gridCol w:w="616"/>
        <w:gridCol w:w="271"/>
        <w:gridCol w:w="109"/>
        <w:gridCol w:w="109"/>
        <w:gridCol w:w="109"/>
        <w:gridCol w:w="211"/>
        <w:gridCol w:w="511"/>
        <w:gridCol w:w="109"/>
        <w:gridCol w:w="109"/>
        <w:gridCol w:w="109"/>
        <w:gridCol w:w="109"/>
        <w:gridCol w:w="180"/>
        <w:gridCol w:w="181"/>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 xml:space="preserve">Variance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 xml:space="preserve">Variance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 unless otherwise noted)</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Mobile in-app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Web in-app purchases and other</w:t>
            </w:r>
            <w:r>
              <w:rPr>
                <w:rFonts w:ascii="Times New Roman;sans-serif" w:hAnsi="Times New Roman;sans-serif"/>
                <w:b w:val="false"/>
                <w:color w:val="000000"/>
                <w:sz w:val="13"/>
              </w:rPr>
              <w:t>(1)</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SciPlay KPIs: </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In-App Purchases: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Mobile Penetration</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MAU</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DAU</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ARPDAU</w:t>
            </w:r>
            <w:r>
              <w:rPr>
                <w:rFonts w:ascii="Times New Roman;sans-serif" w:hAnsi="Times New Roman;sans-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MPU</w:t>
            </w: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AMRPPU</w:t>
            </w:r>
            <w:r>
              <w:rPr>
                <w:rFonts w:ascii="Times New Roman;sans-serif" w:hAnsi="Times New Roman;sans-serif"/>
                <w:b w:val="false"/>
                <w:color w:val="000000"/>
                <w:sz w:val="13"/>
              </w:rPr>
              <w:t>(7)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Payer Conversion Rate</w:t>
            </w:r>
            <w:r>
              <w:rPr>
                <w:rFonts w:ascii="Times New Roman;sans-serif" w:hAnsi="Times New Roman;sans-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1108"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pp = percentage points.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in the periods presented.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Mobile penetration is defined as the percentage of business to consumer revenue generated from mobile platforms.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MAU = Monthly Active Users is a count of visitors to SciPlay sites during a month. An individual who plays multiple games or from multiple devices may, in certain circumstances, be counted more than once. However, SciPlay uses third-party data to limit the occurrence of multiple counting.</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DAU = Daily Active Users is a count of visitors to SciPlay sites during a day. An individual who plays multiple games or from multiple devices may, in certain circumstances, be counted more than once. However, SciPlay uses third-party data to limit the occurrence of multiple counting.</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(6) MPU = Monthly Paying Users is the number of individual users who made an in-game purchase during a particular month.</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 Payer conversion rate is calculated by dividing average MPU for the period by the average MAU for the same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revenues increased as social casino payer engagement increased and average monthly revenue per paying user reached a new record high.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revenues increased as social casino payer engagement increased with an increase in average monthly paying users.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mobile penetration percentage for the three months ended September 30, 2023 was flat, and for the nine months ended September 30, 2023, it increased, primarily reflecting a continued trend of players migrating from web to mobile platforms to play SciPlay’s games.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MAU for the three and nine months ended September 30, 2023 decreased due to the turnover in users.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shd w:fill="FFFFFF" w:val="clear"/>
        </w:rPr>
        <w:t xml:space="preserve">ARPDAU increased with an increase in payers and higher daily average revenue per player while DAU was flat for the three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ARPDAU increased as a function of slightly lower average DAU coupled with an increase in </w:t>
      </w:r>
      <w:r>
        <w:rPr>
          <w:rFonts w:ascii="Times New Roman;sans-serif" w:hAnsi="Times New Roman;sans-serif"/>
          <w:b w:val="false"/>
          <w:color w:val="000000"/>
          <w:sz w:val="20"/>
          <w:shd w:fill="FFFFFF" w:val="clear"/>
        </w:rPr>
        <w:t>payers for the nine months ended September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AMRPPU and average MPU increased as payer conversion improved compared to the prior year period.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Payer conversion rates continue to be at high levels due to consistent</w:t>
      </w:r>
      <w:r>
        <w:rPr>
          <w:color w:val="000000"/>
          <w:shd w:fill="FFFFFF" w:val="clear"/>
        </w:rPr>
        <w:t xml:space="preserve"> </w:t>
      </w:r>
      <w:r>
        <w:rPr>
          <w:rFonts w:ascii="Times New Roman;sans-serif" w:hAnsi="Times New Roman;sans-serif"/>
          <w:b w:val="false"/>
          <w:color w:val="000000"/>
          <w:sz w:val="20"/>
          <w:shd w:fill="FFFFFF" w:val="clear"/>
        </w:rPr>
        <w:t>payer interaction with the games as a result of SciPlay’s</w:t>
      </w:r>
      <w:r>
        <w:rPr>
          <w:color w:val="000000"/>
        </w:rPr>
        <w:t xml:space="preserve"> </w:t>
      </w:r>
      <w:r>
        <w:rPr>
          <w:rFonts w:ascii="Times New Roman;sans-serif" w:hAnsi="Times New Roman;sans-serif"/>
          <w:b w:val="false"/>
          <w:color w:val="000000"/>
          <w:sz w:val="20"/>
        </w:rPr>
        <w:t>focus on introducing new content, features and live events in their games.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expenses for the three and nine months ended September 30, 2023 as compared to the prior year periods primarily correlated with the increase in revenue (as described above) as a result of higher platform fees, higher stock-based compensation of $10 million and $19 million, respectively, and higher salaries and benefits related to an increase in headcount of $3 million and $11 million, respectively, partially offset by lower marketing spend of $4 million and $5 million, respectively. The nine months ended September 30, 2023 also included an impairment charge of $5 million related to the restructuring of a certain foreign studio.</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AEBITDA for the three and nine months ended September 30, 2023 increased as compared to the prior year periods,</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AEBITDA margin increased by 6 and 4 percentage points, respectively, primarily due to the increase in revenue (as described above) and reduced marketing spend, partially offset by higher operating costs resulting from increases in salaries and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customer base and capitalize on growth in the European and North American markets by leveraging our industry leading platforms, content and solutions, as well as invest in our ability to scale our own original U.S. land-based content offering. Currently we have launched in six U.S. states, and we are positioned to enter others as additional state legislatures authorize online gaming. In October 2023, we launched our live casino operations in Michigan, reaching a strategic market expansion milestone for our iGaming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w:t>
      </w:r>
    </w:p>
    <w:tbl>
      <w:tblPr>
        <w:tblW w:w="5265" w:type="dxa"/>
        <w:jc w:val="center"/>
        <w:tblInd w:w="0" w:type="dxa"/>
        <w:tblLayout w:type="fixed"/>
        <w:tblCellMar>
          <w:top w:w="28" w:type="dxa"/>
          <w:left w:w="28" w:type="dxa"/>
          <w:bottom w:w="28" w:type="dxa"/>
          <w:right w:w="28" w:type="dxa"/>
        </w:tblCellMar>
      </w:tblPr>
      <w:tblGrid>
        <w:gridCol w:w="1684"/>
        <w:gridCol w:w="1480"/>
        <w:gridCol w:w="2101"/>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 2023 and 2022</w:t>
            </w:r>
          </w:p>
        </w:tc>
      </w:tr>
    </w:tbl>
    <w:p>
      <w:pPr>
        <w:pStyle w:val="TextBody"/>
        <w:bidi w:val="0"/>
        <w:spacing w:before="0" w:after="160"/>
        <w:jc w:val="center"/>
        <w:rPr/>
      </w:pPr>
      <w:r>
        <w:rPr/>
        <w:drawing>
          <wp:inline distT="0" distB="0" distL="0" distR="0">
            <wp:extent cx="2152650" cy="2152650"/>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4"/>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2152650" cy="2152650"/>
                    </a:xfrm>
                    <a:prstGeom prst="rect">
                      <a:avLst/>
                    </a:prstGeom>
                  </pic:spPr>
                </pic:pic>
              </a:graphicData>
            </a:graphic>
          </wp:inline>
        </w:drawing>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increases in iGaming revenue of 21% and 15% for the three and nine months ended September 30, 2023, respectively, as compared to the prior year periods, were primarily due to continuing momentum in the U.S. market, which delivered 25% and 30% year-over-year revenue growth, respectively, driven by the strength of our original content and growth in our partner network, as well as growth in international markets. The current year periods also benefited from $3 million and $5 million, respectively, in certain license termination fees. Wagers processed through our Open Gaming System for both current year periods increased to $20 billion and $61 billion, respectively. Revenue for the three months ended September 30, 2023 was impacted by favorable impact of foreign currency translation of $2 million, and the nine months ended September 30, 2023 were impacted by unfavorable impact of $2 million.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AEBITDA for the three and nine months ended September 30, 2023 increased as compared to the prior year periods primarily due to the increase in revenue as described above. AEBITDA margin increased by 2 and 1 percentage points for the three and nine months ended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RECENTLY ISSUED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 description of our policies regarding our critical accounting estimates, see “Critical Accounting Estimates”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WORKING CAPITAL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Liquidity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principal sources of liquidity, other than cash flows provided by operating activities, were cash and cash equivalents, including SciPlay cash and cash equivalents (for our SciPlay business segment), and amounts available under the LNWI Revolver and SciPlay Revolver (for our SciPlay business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Revolver Capacity</w:t>
      </w:r>
    </w:p>
    <w:tbl>
      <w:tblPr>
        <w:tblW w:w="10205" w:type="dxa"/>
        <w:jc w:val="center"/>
        <w:tblInd w:w="0" w:type="dxa"/>
        <w:tblLayout w:type="fixed"/>
        <w:tblCellMar>
          <w:top w:w="28" w:type="dxa"/>
          <w:left w:w="28" w:type="dxa"/>
          <w:bottom w:w="28" w:type="dxa"/>
          <w:right w:w="28" w:type="dxa"/>
        </w:tblCellMar>
      </w:tblPr>
      <w:tblGrid>
        <w:gridCol w:w="827"/>
        <w:gridCol w:w="628"/>
        <w:gridCol w:w="620"/>
        <w:gridCol w:w="109"/>
        <w:gridCol w:w="109"/>
        <w:gridCol w:w="109"/>
        <w:gridCol w:w="448"/>
        <w:gridCol w:w="989"/>
        <w:gridCol w:w="232"/>
        <w:gridCol w:w="109"/>
        <w:gridCol w:w="109"/>
        <w:gridCol w:w="109"/>
        <w:gridCol w:w="315"/>
        <w:gridCol w:w="698"/>
        <w:gridCol w:w="162"/>
        <w:gridCol w:w="109"/>
        <w:gridCol w:w="109"/>
        <w:gridCol w:w="109"/>
        <w:gridCol w:w="904"/>
        <w:gridCol w:w="1613"/>
        <w:gridCol w:w="473"/>
        <w:gridCol w:w="109"/>
        <w:gridCol w:w="109"/>
        <w:gridCol w:w="109"/>
        <w:gridCol w:w="211"/>
        <w:gridCol w:w="616"/>
        <w:gridCol w:w="161"/>
      </w:tblGrid>
      <w:tr>
        <w:trPr/>
        <w:tc>
          <w:tcPr>
            <w:tcW w:w="8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Revolver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Revolver capacity drawn or committed to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 (excluding 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 (excluding 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held by our foreign subsidiaries was $183 million and $142 million as of September 30, 2023 and December 31, 2022,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purchase obligations, supply contracts, license agreement minimum guaranteed payments and lease obligations. There have been no material changes to our capital requirements disclosed in our 2022 10-K, other than those associated with the issuance of the 2031 Unsecured Notes and redemption of the 2025 Unsecured Notes.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paid $32 million in cash taxes associated with the Divestitures. As required under our certain debt agreements, we used a portion of the proceeds received from the Divestitures to reinvest in our business through the SciPlay Merger (see Note 1 for additional details). On October 23, 2023, we paid $496 million to the holders of SciPlay Class A common stock in connection with the SciPlay Merger. Upon completion of the SciPlay Merger, the SciPlay Revolver was terminated, and any SciPlay cash and cash equivalents became available for use by L&amp;W.</w:t>
      </w:r>
    </w:p>
    <w:p>
      <w:pPr>
        <w:pStyle w:val="TextBody"/>
        <w:bidi w:val="0"/>
        <w:spacing w:lineRule="auto" w:line="288" w:before="0" w:after="16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termination of the SciPlay Revolver, during the fourth quarter of 2023, L&amp;W intends to designate SciPlay and its wholly owned domestic subsidiaries and certain parent holding companies, which hold substantially all the assets of and operate SciPlay’s social gaming business, as “Restricted Subsidiaries” and join certain of these entities as guarantors under the LNWI Credit Agreement and the Unsecured Notes. As a result of such designations, these subsidiaries will be obligated to comply with many of the covenants set forth in those agreements and the assets, liabilities and financial results of those subsidiaries will be included in the calculation of the applicable financial metrics required by those agreements.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ans-serif" w:hAnsi="Times New Roman;sans-serif"/>
          <w:b w:val="false"/>
          <w:i/>
          <w:color w:val="000000"/>
          <w:sz w:val="20"/>
        </w:rPr>
        <w:t>Part I, Item 1A</w:t>
      </w:r>
      <w:r>
        <w:rPr>
          <w:color w:val="000000"/>
        </w:rPr>
        <w:t xml:space="preserve"> </w:t>
      </w:r>
      <w:r>
        <w:rPr>
          <w:rFonts w:ascii="Times New Roman;sans-serif" w:hAnsi="Times New Roman;sans-serif"/>
          <w:b w:val="false"/>
          <w:color w:val="000000"/>
          <w:sz w:val="20"/>
        </w:rPr>
        <w:t>in our 2022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2022, our Board of Directors approved a share repurchase program under which we are authorized to repurchase, from time to time through February 25, 2025, up to an aggregate amount of $750 million of our outstanding common stock. During the nine months ended September 30, 2023, we repurchased 2.1 million shares of common stock under the program at an aggregate cost of $146 million (including excise tax).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2022, SciPlay’s Board of Directors approved a share repurchase program under which it is authorized to repurchase, from time to time through May 9, 2024, up to an aggregate amount of $60 million of its outstanding Class A common stock. SciPlay has since completed the initial share repurchase program authorization. On May 3, 2023, SciPlay’s Board of Directors approved another share repurchase program under which it is authorized to repurchase, from time to time through May 3, 2024, up to an aggregate amount of $60 million of its outstanding Class A common stock. No share repurchases have been made under the new program as of September 30, 2023. Upon completion of the SciPlay Merger, the SciPlay share repurchase program was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2188"/>
        <w:gridCol w:w="1889"/>
        <w:gridCol w:w="1911"/>
        <w:gridCol w:w="293"/>
        <w:gridCol w:w="648"/>
        <w:gridCol w:w="151"/>
        <w:gridCol w:w="151"/>
        <w:gridCol w:w="151"/>
        <w:gridCol w:w="151"/>
        <w:gridCol w:w="293"/>
        <w:gridCol w:w="749"/>
        <w:gridCol w:w="151"/>
        <w:gridCol w:w="109"/>
        <w:gridCol w:w="109"/>
        <w:gridCol w:w="109"/>
        <w:gridCol w:w="267"/>
        <w:gridCol w:w="684"/>
        <w:gridCol w:w="201"/>
      </w:tblGrid>
      <w:tr>
        <w:trPr/>
        <w:tc>
          <w:tcPr>
            <w:tcW w:w="218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988"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 from:</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investing activities from:</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 from:</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2316"/>
        <w:gridCol w:w="2029"/>
        <w:gridCol w:w="2056"/>
        <w:gridCol w:w="246"/>
        <w:gridCol w:w="545"/>
        <w:gridCol w:w="127"/>
        <w:gridCol w:w="127"/>
        <w:gridCol w:w="127"/>
        <w:gridCol w:w="127"/>
        <w:gridCol w:w="246"/>
        <w:gridCol w:w="721"/>
        <w:gridCol w:w="127"/>
        <w:gridCol w:w="109"/>
        <w:gridCol w:w="109"/>
        <w:gridCol w:w="109"/>
        <w:gridCol w:w="221"/>
        <w:gridCol w:w="693"/>
        <w:gridCol w:w="170"/>
      </w:tblGrid>
      <w:tr>
        <w:trPr/>
        <w:tc>
          <w:tcPr>
            <w:tcW w:w="231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640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discontinued operations, net of tax</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from continuing operations to net cash provided by (used in) operating activities from continuing operations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 and other</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from continuing operations</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continuing operations increased primarily due to favorable changes in working capital accounts and a $209 million increase in earnings (drivers described above).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for the nine months ended September 30, 2023 as compared to the nine months ended September 30, 2022 primarily benefited from a decrease of $433 million in cash taxes paid associated with the Divestitures and lower interest payments, partially offset by $9 million in cash paid for contingent consideration and $7 million in professional services associated with the ASX listing. The prior year period was also negatively impacted by the timing of disbursements including costs associated with the strategic review, accelerated cash interest payments associated with refinancing debt transactions in April 2022 and $25 million paid by SciPlay for the Washington State matter settlement as described in Note 20 in our 2022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 decreased primarily due to SciPlay’s acquisition of Alictus Yazilim Anonim Şirketi in the prior year period, partially offset by the settlement of cross-currency interest rate swaps in the prior year period, in which we received $50 million in cash proceeds, and higher capital expenditures in the current year period. Capital expenditures are composed of investments in systems, equipment and other assets related to contracts, property and equipment, intangible assets and software.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from discontinued operations decreased primarily as a result of the receipt of $6.4 billion in gross cash proceeds from the Divestitures, net of cash, cash equivalents and restricted cash transferred, during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primarily due to the refinancing debt transactions in April 2022, in which we repaid $7.0 billion in senior notes (including redemption premium) and outstanding term loan borrowings and received $2.2 billion in proceeds from the issuance of the LNWI Term Loan B. This decrease was partially offset by costs related to the debt transactions in August 2023, in which we paid $20 million in premiums, fees and expenses for the issuance of the 2031 Unsecured Notes and redemption of the 2025 Unsecured Notes. We also purchased less of our outstanding common stock under our share repurchase program during the current year period. During the nine months ended September 30, 2023 and 2022, we purchased $145 million and $203 million, respectively, of our common stock.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 and Other Debt</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regarding the LNWI Credit Agreement and other debt, interest rate risk and interest rate hedging instruments, see Notes 15 and 16 and </w:t>
      </w:r>
      <w:r>
        <w:rPr>
          <w:rFonts w:ascii="Times New Roman;sans-serif" w:hAnsi="Times New Roman;sans-serif"/>
          <w:b w:val="false"/>
          <w:i/>
          <w:color w:val="000000"/>
          <w:sz w:val="20"/>
        </w:rPr>
        <w:t>Item 7A</w:t>
      </w:r>
      <w:r>
        <w:rPr>
          <w:color w:val="000000"/>
        </w:rPr>
        <w:t xml:space="preserve"> “</w:t>
      </w:r>
      <w:r>
        <w:rPr>
          <w:rFonts w:ascii="Times New Roman;sans-serif" w:hAnsi="Times New Roman;sans-serif"/>
          <w:b w:val="false"/>
          <w:color w:val="000000"/>
          <w:sz w:val="20"/>
        </w:rPr>
        <w:t xml:space="preserve">Quantitative and Qualitative Disclosures About Market Risk” in our 2022 10-K as well as Notes 11 and 12 and </w:t>
      </w:r>
      <w:r>
        <w:rPr>
          <w:rFonts w:ascii="Times New Roman;sans-serif" w:hAnsi="Times New Roman;sans-serif"/>
          <w:b w:val="false"/>
          <w:i/>
          <w:color w:val="000000"/>
          <w:sz w:val="20"/>
        </w:rPr>
        <w:t>Item 3</w:t>
      </w:r>
      <w:r>
        <w:rPr>
          <w:color w:val="000000"/>
        </w:rPr>
        <w:t xml:space="preserve"> </w:t>
      </w:r>
      <w:r>
        <w:rPr>
          <w:rFonts w:ascii="Times New Roman;sans-serif" w:hAnsi="Times New Roman;sans-serif"/>
          <w:b w:val="false"/>
          <w:color w:val="000000"/>
          <w:sz w:val="20"/>
        </w:rPr>
        <w:t xml:space="preserve">below in this </w:t>
      </w:r>
      <w:r>
        <w:rPr>
          <w:rFonts w:ascii="Times New Roman;sans-serif" w:hAnsi="Times New Roman;sans-serif"/>
          <w:b w:val="false"/>
          <w:color w:val="000000"/>
          <w:sz w:val="20"/>
          <w:shd w:fill="FFFFFF" w:val="clear"/>
        </w:rPr>
        <w:t>Quarterly Report on Form</w:t>
      </w:r>
      <w:r>
        <w:rPr>
          <w:color w:val="000000"/>
        </w:rPr>
        <w:t xml:space="preserve"> </w:t>
      </w:r>
      <w:r>
        <w:rPr>
          <w:rFonts w:ascii="Times New Roman;sans-serif" w:hAnsi="Times New Roman;sans-serif"/>
          <w:b w:val="false"/>
          <w:color w:val="000000"/>
          <w:sz w:val="20"/>
        </w:rPr>
        <w:t>10-Q.</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exchange rates and commodity prices. The following are our primary exposures to market risks: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face value of long-term debt was $3.9 billion, including $2.2 billion of variable-rate obligations.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interest rate swap contracts with $700 million notional amount to hedge a portion of our interest expense associated with our variable rate debt to effectively fix the interest rate that we will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long-term debt and interest rate swap contracts, see Notes 11 and 12,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Interim Chief Financial Officer, we have evaluated the effectiveness of our disclosure controls and procedures as required by Exchange Act Rule 3a-15(b) as of the end of the period covered by this report. Based on that evaluation, the Chief Executive Officer and Interim Chief Financial Officer have concluded that these disclosure controls and procedures are effective as of September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see Note 16 in this Quarterly Report on Form 10-Q and Note 20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There have been no material changes in our risk factors from those disclosed under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Risk Factors” included in our 2022 10-K, except as noted below.</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secondary listing of the Company’s common stock on the Australian Securities Exchange could lead to price variations and other impacts on holders our common stock.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22, 2023 (AEST), our common stock was listed as CDIs on the ASX and commenced active trading under the ASX code “LNW,” in addition to our existing primary listing on The Nasdaq Stock Market (“Nasdaq”). Dual listing may result in price variations between our securities listed on the different exchanges due to a number of factors, including that our common stock listed on the Nasdaq is traded in U.S. dollars and any CDIs listed on the ASX are traded in Australian Dollars, volatility in the exchange rate of the two currencies and differences between the vacation schedules, trading schedules and time zones of the two exchanges, among other factors. A decrease in the price of our securities in one market may result in a decrease in the price of our securities in the other market. Dual listing also presents us with the opportunity to raise additional funds through the issuance of CDIs, which could cause dilution to existing stockholders.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The SciPlay Merger subjects us to a number of risks and uncertainties, including whether it will yield additional value for our stockholders and adversely impact our business, financial results, results of operations, cash flows or stock price.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2023, we acquired the remaining approximately 17% equity interest in SciPlay not already owned by us pursuant to the SciPlay Merger in an all-cash transaction for $496 million, excluding transaction fees and expenses. The SciPlay Merger exposes us to a number of risks and uncertainties, including that L&amp;W may be unable to achieve the expected operational, strategic and financial benefits of the SciPlay Merger; difficulties in retaining or motivating key management personnel of SciPlay; and exposure to potential litigation. Any of these factors could disrupt our business and could have a material adverse effect on our business, financial condition, results of operations, cash flows or stock price.</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Unfavorable U.S. and international economic conditions, decreased discretionary spending, travel or operational disruptions due to other factors such as inflation, rising benchmark interest rates,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Unfavorable economic conditions, including recession, inflation,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may also result in decreased discretionary spending or travel by consumers and have a negative effect on our businesses. Such factors out of our control may also have effects beyond discretionary spending or travel, such as disruptions to our operations and productivity, which could also have a negative effect on our businesses.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 For a description of the impact of the COVID-19 pandemic and other public health crises, see the risk factor captioned “</w:t>
      </w:r>
      <w:r>
        <w:rPr>
          <w:rFonts w:ascii="Times New Roman;sans-serif" w:hAnsi="Times New Roman;sans-serif"/>
          <w:b w:val="false"/>
          <w:i/>
          <w:color w:val="000000"/>
          <w:sz w:val="20"/>
        </w:rPr>
        <w:t>The effects of the COVID-19 pandemic or similar health epidemics, contagious disease outbreaks and public perception thereof, continue to and, in the future, could impact our operations and, should negative impacts such as significant negative player engagement develop, adversely affect and continue to adversely affect our operations, business, results of operations, cash flows and financial condition</w:t>
      </w:r>
      <w:r>
        <w:rPr>
          <w:color w:val="000000"/>
        </w:rPr>
        <w:t xml:space="preserve">” </w:t>
      </w:r>
      <w:r>
        <w:rPr>
          <w:rFonts w:ascii="Times New Roman;sans-serif" w:hAnsi="Times New Roman;sans-serif"/>
          <w:b w:val="false"/>
          <w:color w:val="000000"/>
          <w:sz w:val="20"/>
        </w:rPr>
        <w:t xml:space="preserve">disclosed under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 xml:space="preserve">Risk Factors” included in our 2022 10-K. 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outbreaks of contagious diseases or public perception thereof or fears of terrorism or other violence.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decline in play levels has negatively impacted the results of operations, cash flows and financial condition of our casino customers and their ability to purchase or lease our products and services.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We increased our allowance for credit losses by $56 million for the year ended December 31, 2020. In addition, unfavorable economic conditions have caused, and may cause in the future, some of our Gaming customers to temporarily close gaming venues or ultimately declare bankruptcy, which adversely affects our business. Consistent with other suppliers in the gaming industry, our Gaming business has recently expanded the use of extended payment term financing for gaming machine purchases, and we expect to continue to provide a higher level of extended payment term financing in this business until demand from our customers for such financings abates or our business model changes. These financing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7 in our 2022 10-K for international locations with significant concentrations of our receivables with terms longer than one year.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SciPlay business, while we maintain offices in the U.S., we have employees and consultants operating in foreign jurisdictions, including Israel, Turkey and Ukraine. In the foreign jurisdictions in which SciPlay operates, conditions such as political instability, terrorist activity or threat thereof, armed conflicts or hostilities and civil unrest could adversely affect our business and results of operations. For example, political, economic and military conditions in Israel, including acts of terrorism, war or other armed conflicts, such as Hamas’ attack against Israel, which has impacted our employees and operations, in Israel, could in the future cause business interruptions or other spillover effects that could materially adversely affect SciPlay’s business and results of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Puerto Rico, Turkey and Ukraine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1.5 million shares under the share repurchase program during the three months ended September 30, 2023.</w:t>
      </w:r>
    </w:p>
    <w:tbl>
      <w:tblPr>
        <w:tblW w:w="10205" w:type="dxa"/>
        <w:jc w:val="center"/>
        <w:tblInd w:w="0" w:type="dxa"/>
        <w:tblLayout w:type="fixed"/>
        <w:tblCellMar>
          <w:top w:w="28" w:type="dxa"/>
          <w:left w:w="28" w:type="dxa"/>
          <w:bottom w:w="28" w:type="dxa"/>
          <w:right w:w="28" w:type="dxa"/>
        </w:tblCellMar>
      </w:tblPr>
      <w:tblGrid>
        <w:gridCol w:w="385"/>
        <w:gridCol w:w="338"/>
        <w:gridCol w:w="340"/>
        <w:gridCol w:w="121"/>
        <w:gridCol w:w="121"/>
        <w:gridCol w:w="121"/>
        <w:gridCol w:w="470"/>
        <w:gridCol w:w="470"/>
        <w:gridCol w:w="471"/>
        <w:gridCol w:w="121"/>
        <w:gridCol w:w="121"/>
        <w:gridCol w:w="121"/>
        <w:gridCol w:w="340"/>
        <w:gridCol w:w="995"/>
        <w:gridCol w:w="175"/>
        <w:gridCol w:w="121"/>
        <w:gridCol w:w="121"/>
        <w:gridCol w:w="121"/>
        <w:gridCol w:w="394"/>
        <w:gridCol w:w="870"/>
        <w:gridCol w:w="204"/>
        <w:gridCol w:w="121"/>
        <w:gridCol w:w="121"/>
        <w:gridCol w:w="121"/>
        <w:gridCol w:w="832"/>
        <w:gridCol w:w="1839"/>
        <w:gridCol w:w="63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 PURCHASES OF EQUITY SECURITIES</w:t>
            </w:r>
          </w:p>
        </w:tc>
      </w:tr>
      <w:tr>
        <w:trPr/>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w:t>
              <w:br/>
              <w:t>Purchased as Part of</w:t>
              <w:br/>
              <w:t>Publicly Announced</w:t>
              <w:br/>
              <w:t>Program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Cost of Repurchase </w:t>
            </w:r>
          </w:p>
          <w:p>
            <w:pPr>
              <w:pStyle w:val="TableContents"/>
              <w:bidi w:val="0"/>
              <w:spacing w:lineRule="auto" w:line="240" w:before="0" w:after="0"/>
              <w:jc w:val="center"/>
              <w:rPr/>
            </w:pPr>
            <w:r>
              <w:rPr>
                <w:rFonts w:ascii="Times New Roman;sans-serif" w:hAnsi="Times New Roman;sans-serif"/>
                <w:b/>
                <w:color w:val="000000"/>
                <w:sz w:val="18"/>
              </w:rPr>
              <w:t>(in millions)</w:t>
            </w:r>
            <w:r>
              <w:rPr>
                <w:rFonts w:ascii="Times New Roman;sans-serif" w:hAnsi="Times New Roman;sans-serif"/>
                <w:b/>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Program (in millions)</w:t>
            </w:r>
            <w:r>
              <w:rPr>
                <w:rFonts w:ascii="Times New Roman;sans-serif" w:hAnsi="Times New Roman;sans-serif"/>
                <w:b/>
                <w:color w:val="000000"/>
                <w:sz w:val="12"/>
              </w:rPr>
              <w:t>(1)</w:t>
            </w:r>
          </w:p>
        </w:tc>
      </w:tr>
      <w:tr>
        <w:trPr/>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7/1/2023 - 7/31/2023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8/1/2023 - 8/31/2023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9/1/2023 - 9/30/2023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 For the three months ended September 30, 2023, excise taxes totaled $1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September 30, 2023, no director or officer of the Company adopted or terminated a "Rule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2739"/>
        <w:gridCol w:w="2604"/>
        <w:gridCol w:w="3711"/>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Agreement and Plan of Merger, dated August 8, 2023, by and among Light &amp; Wonder, Inc., Bern Merger Sub, Inc. and SciPlay Corporation (incorporated by reference to Exhibit 2.1 to Light &amp; Wonder, Inc.’s Current Report on Form 8-K filed on August 8, 2023).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Third Amended and Restated Bylaws of Light &amp; Wonder, Inc., effective as of August 3, 2023 (incorporated by reference to Exhibit 3.2 to Light &amp; Wonder, Inc.’s Quarterly Report on Form 10-Q for the quarter ended June 30, 2023).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4" w:type="dxa"/>
            <w:gridSpan w:val="3"/>
            <w:tcBorders/>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Indenture, dated as of August 23, 2023, among Light and Wonder International, Inc., as issuer, Light &amp; Wonder, Inc., the other guarantors party thereto and Deutsche Bank Trust Company Americas, as trustee, relating to the 7.500% Senior Unsecured Notes due 2031 (incorporated by reference to Exhibit 4.1 to Light &amp; Wonder, Inc.’s Current Report on Form 8-K filed on August 23, 2023).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1-09302023.htm">
              <w:r>
                <w:rPr>
                  <w:rStyle w:val="InternetLink"/>
                  <w:rFonts w:ascii="Times New Roman;sans-serif" w:hAnsi="Times New Roman;sans-serif"/>
                  <w:b w:val="false"/>
                  <w:color w:val="000080"/>
                  <w:sz w:val="20"/>
                  <w:u w:val="single"/>
                </w:rPr>
                <w:t xml:space="preserve">Employment Agreement, </w:t>
              </w:r>
            </w:hyperlink>
            <w:hyperlink w:anchor="ex101-09302023.htm">
              <w:r>
                <w:rPr>
                  <w:rStyle w:val="InternetLink"/>
                  <w:rFonts w:ascii="Times New Roman;sans-serif" w:hAnsi="Times New Roman;sans-serif"/>
                  <w:b w:val="false"/>
                  <w:color w:val="000080"/>
                  <w:sz w:val="20"/>
                  <w:u w:val="single"/>
                </w:rPr>
                <w:t>effective</w:t>
              </w:r>
            </w:hyperlink>
            <w:hyperlink w:anchor="ex101-09302023.htm">
              <w:r>
                <w:rPr>
                  <w:rStyle w:val="InternetLink"/>
                  <w:rFonts w:ascii="Times New Roman;sans-serif" w:hAnsi="Times New Roman;sans-serif"/>
                  <w:b w:val="false"/>
                  <w:color w:val="000080"/>
                  <w:sz w:val="20"/>
                  <w:u w:val="single"/>
                </w:rPr>
                <w:t xml:space="preserve"> as of </w:t>
              </w:r>
            </w:hyperlink>
            <w:hyperlink w:anchor="ex101-09302023.htm">
              <w:r>
                <w:rPr>
                  <w:rStyle w:val="InternetLink"/>
                  <w:rFonts w:ascii="Times New Roman;sans-serif" w:hAnsi="Times New Roman;sans-serif"/>
                  <w:b w:val="false"/>
                  <w:color w:val="000080"/>
                  <w:sz w:val="20"/>
                  <w:u w:val="single"/>
                </w:rPr>
                <w:t>August 25</w:t>
              </w:r>
            </w:hyperlink>
            <w:hyperlink w:anchor="ex101-09302023.htm">
              <w:r>
                <w:rPr>
                  <w:rStyle w:val="InternetLink"/>
                  <w:rFonts w:ascii="Times New Roman;sans-serif" w:hAnsi="Times New Roman;sans-serif"/>
                  <w:b w:val="false"/>
                  <w:color w:val="000080"/>
                  <w:sz w:val="20"/>
                  <w:u w:val="single"/>
                </w:rPr>
                <w:t>, 2023, by and between Light &amp; Wonder, Inc. and Vanja Kalabic.**(†)</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09302023.htm">
              <w:r>
                <w:rPr>
                  <w:rStyle w:val="InternetLink"/>
                  <w:rFonts w:ascii="Times New Roman;sans-serif" w:hAnsi="Times New Roman;sans-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09302023.htm">
              <w:r>
                <w:rPr>
                  <w:rStyle w:val="InternetLink"/>
                  <w:rFonts w:ascii="Times New Roman;sans-serif" w:hAnsi="Times New Roman;sans-serif"/>
                  <w:b w:val="false"/>
                  <w:color w:val="000080"/>
                  <w:sz w:val="20"/>
                  <w:u w:val="single"/>
                </w:rPr>
                <w:t xml:space="preserve">Certification of the </w:t>
              </w:r>
            </w:hyperlink>
            <w:hyperlink w:anchor="ex312-09302023.htm">
              <w:r>
                <w:rPr>
                  <w:rStyle w:val="InternetLink"/>
                  <w:rFonts w:ascii="Times New Roman;sans-serif" w:hAnsi="Times New Roman;sans-serif"/>
                  <w:b w:val="false"/>
                  <w:color w:val="000080"/>
                  <w:sz w:val="20"/>
                  <w:u w:val="single"/>
                </w:rPr>
                <w:t xml:space="preserve">Interim </w:t>
              </w:r>
            </w:hyperlink>
            <w:hyperlink w:anchor="ex312-09302023.htm">
              <w:r>
                <w:rPr>
                  <w:rStyle w:val="InternetLink"/>
                  <w:rFonts w:ascii="Times New Roman;sans-serif" w:hAnsi="Times New Roman;sans-serif"/>
                  <w:b w:val="false"/>
                  <w:color w:val="000080"/>
                  <w:sz w:val="20"/>
                  <w:u w:val="single"/>
                </w:rPr>
                <w:t>Chief Financial Officer of Light &amp; Wonder, Inc. pursuant to Rule 13a-14(a), as adopted pursuant to Section 302 of the Sarbanes-Oxley Act of 2002.(†)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09302023.htm">
              <w:r>
                <w:rPr>
                  <w:rStyle w:val="InternetLink"/>
                  <w:rFonts w:ascii="Times New Roman;sans-serif" w:hAnsi="Times New Roman;sans-serif"/>
                  <w:b w:val="false"/>
                  <w:color w:val="000080"/>
                  <w:sz w:val="20"/>
                  <w:u w:val="single"/>
                </w:rPr>
                <w:t>Certification of the Chief Executive Officer of Light &amp; Wonder, Inc. pursuant to Rule 13a-14(b) and 18 U.S.C. Section 1350, as adopted pursuant to Section 906 of the Sarbanes-Oxley Act of 2002.</w:t>
              </w:r>
            </w:hyperlink>
            <w:hyperlink w:anchor="ex321-09302023.htm">
              <w:r>
                <w:rPr>
                  <w:rStyle w:val="InternetLink"/>
                  <w:rFonts w:ascii="Times New Roman;sans-serif" w:hAnsi="Times New Roman;sans-serif"/>
                  <w:b w:val="false"/>
                  <w:color w:val="000080"/>
                  <w:sz w:val="20"/>
                  <w:u w:val="single"/>
                </w:rPr>
                <w:t>**</w:t>
              </w:r>
            </w:hyperlink>
            <w:hyperlink w:anchor="ex321-09302023.htm">
              <w:r>
                <w:rPr>
                  <w:rStyle w:val="InternetLink"/>
                  <w:rFonts w:ascii="Times New Roman;sans-serif" w:hAnsi="Times New Roman;sans-serif"/>
                  <w:b w:val="false"/>
                  <w:color w:val="000080"/>
                  <w:sz w:val="20"/>
                  <w:u w:val="single"/>
                </w:rPr>
                <w:t>*</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09302023.htm">
              <w:r>
                <w:rPr>
                  <w:rStyle w:val="InternetLink"/>
                  <w:rFonts w:ascii="Times New Roman;sans-serif" w:hAnsi="Times New Roman;sans-serif"/>
                  <w:b w:val="false"/>
                  <w:color w:val="000080"/>
                  <w:sz w:val="20"/>
                  <w:u w:val="single"/>
                </w:rPr>
                <w:t xml:space="preserve">Certification of the </w:t>
              </w:r>
            </w:hyperlink>
            <w:hyperlink w:anchor="ex322-09302023.htm">
              <w:r>
                <w:rPr>
                  <w:rStyle w:val="InternetLink"/>
                  <w:rFonts w:ascii="Times New Roman;sans-serif" w:hAnsi="Times New Roman;sans-serif"/>
                  <w:b w:val="false"/>
                  <w:color w:val="000080"/>
                  <w:sz w:val="20"/>
                  <w:u w:val="single"/>
                </w:rPr>
                <w:t xml:space="preserve">Interim </w:t>
              </w:r>
            </w:hyperlink>
            <w:hyperlink w:anchor="ex322-09302023.htm">
              <w:r>
                <w:rPr>
                  <w:rStyle w:val="InternetLink"/>
                  <w:rFonts w:ascii="Times New Roman;sans-serif" w:hAnsi="Times New Roman;sans-serif"/>
                  <w:b w:val="false"/>
                  <w:color w:val="000080"/>
                  <w:sz w:val="20"/>
                  <w:u w:val="single"/>
                </w:rPr>
                <w:t>Chief Financial Officer of Light &amp; Wonder, Inc. pursuant to Rule 13a-14(b) and 18 U.S.C. Section 1350, as adopted pursuant to Section 906 of the Sarbanes-Oxley Act of 2002.</w:t>
              </w:r>
            </w:hyperlink>
            <w:hyperlink w:anchor="ex322-09302023.htm">
              <w:r>
                <w:rPr>
                  <w:rStyle w:val="InternetLink"/>
                  <w:rFonts w:ascii="Times New Roman;sans-serif" w:hAnsi="Times New Roman;sans-serif"/>
                  <w:b w:val="false"/>
                  <w:color w:val="000080"/>
                  <w:sz w:val="20"/>
                  <w:u w:val="single"/>
                </w:rPr>
                <w:t>**</w:t>
              </w:r>
            </w:hyperlink>
            <w:hyperlink w:anchor="ex322-09302023.htm">
              <w:r>
                <w:rPr>
                  <w:rStyle w:val="InternetLink"/>
                  <w:rFonts w:ascii="Times New Roman;sans-serif" w:hAnsi="Times New Roman;sans-serif"/>
                  <w:b w:val="false"/>
                  <w:color w:val="000080"/>
                  <w:sz w:val="20"/>
                  <w:u w:val="single"/>
                </w:rPr>
                <w:t>*</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Label Linkbase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Schedules and exhibits have been omitted pursuant to Item 601(b)(2) of Regulation S-K. Light &amp; Wonder agrees to furnish supplementally to the SEC a copy of any omitted schedule or exhibit upon request, subject to Light &amp; Wonder’s right to request confidential treatment of any requested schedule or exhibit.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contracts and compensation plans and arrangements.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9"/>
        <w:gridCol w:w="211"/>
        <w:gridCol w:w="530"/>
        <w:gridCol w:w="530"/>
        <w:gridCol w:w="532"/>
        <w:gridCol w:w="347"/>
        <w:gridCol w:w="347"/>
        <w:gridCol w:w="347"/>
        <w:gridCol w:w="2007"/>
        <w:gridCol w:w="2003"/>
        <w:gridCol w:w="2905"/>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Oliver Chow</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Oliver Chow</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Interim Chief Financial Officer, and Principal Financial Officer</w:t>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1"/>
          <w:u w:val="single"/>
        </w:rPr>
      </w:pPr>
      <w:r>
        <w:rPr>
          <w:rFonts w:ascii="Times New Roman;sans-serif" w:hAnsi="Times New Roman;sans-serif"/>
          <w:b/>
          <w:color w:val="000000"/>
          <w:sz w:val="21"/>
          <w:u w:val="single"/>
        </w:rPr>
        <w:t>Employment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This Employment Agreement (this “</w:t>
      </w:r>
      <w:r>
        <w:rPr>
          <w:rFonts w:ascii="Times New Roman;sans-serif" w:hAnsi="Times New Roman;sans-serif"/>
          <w:b w:val="false"/>
          <w:color w:val="000000"/>
          <w:sz w:val="21"/>
          <w:u w:val="single"/>
        </w:rPr>
        <w:t>Agreement</w:t>
      </w:r>
      <w:r>
        <w:rPr>
          <w:color w:val="000000"/>
        </w:rPr>
        <w:t>”</w:t>
      </w:r>
      <w:r>
        <w:rPr>
          <w:rFonts w:ascii="Times New Roman;sans-serif" w:hAnsi="Times New Roman;sans-serif"/>
          <w:b w:val="false"/>
          <w:color w:val="000000"/>
          <w:sz w:val="21"/>
        </w:rPr>
        <w:t>) is effective as of August 25, 2023 (“</w:t>
      </w:r>
      <w:r>
        <w:rPr>
          <w:rFonts w:ascii="Times New Roman;sans-serif" w:hAnsi="Times New Roman;sans-serif"/>
          <w:b w:val="false"/>
          <w:color w:val="000000"/>
          <w:sz w:val="21"/>
          <w:u w:val="single"/>
        </w:rPr>
        <w:t>Effective Date</w:t>
      </w:r>
      <w:r>
        <w:rPr>
          <w:color w:val="000000"/>
        </w:rPr>
        <w:t>”</w:t>
      </w:r>
      <w:r>
        <w:rPr>
          <w:rFonts w:ascii="Times New Roman;sans-serif" w:hAnsi="Times New Roman;sans-serif"/>
          <w:b w:val="false"/>
          <w:color w:val="000000"/>
          <w:sz w:val="21"/>
        </w:rPr>
        <w:t>) by and between Light &amp; Wonder, Inc., a Nevada corporation (the “</w:t>
      </w:r>
      <w:r>
        <w:rPr>
          <w:rFonts w:ascii="Times New Roman;sans-serif" w:hAnsi="Times New Roman;sans-serif"/>
          <w:b w:val="false"/>
          <w:color w:val="000000"/>
          <w:sz w:val="21"/>
          <w:u w:val="single"/>
        </w:rPr>
        <w:t>Company</w:t>
      </w:r>
      <w:r>
        <w:rPr>
          <w:color w:val="000000"/>
        </w:rPr>
        <w:t>”</w:t>
      </w:r>
      <w:r>
        <w:rPr>
          <w:rFonts w:ascii="Times New Roman;sans-serif" w:hAnsi="Times New Roman;sans-serif"/>
          <w:b w:val="false"/>
          <w:color w:val="000000"/>
          <w:sz w:val="21"/>
        </w:rPr>
        <w:t>), and Vanja Kalabic (“</w:t>
      </w:r>
      <w:r>
        <w:rPr>
          <w:rFonts w:ascii="Times New Roman;sans-serif" w:hAnsi="Times New Roman;sans-serif"/>
          <w:b w:val="false"/>
          <w:color w:val="000000"/>
          <w:sz w:val="21"/>
          <w:u w:val="single"/>
        </w:rPr>
        <w:t>Executive</w:t>
      </w:r>
      <w:r>
        <w:rPr>
          <w:color w:val="000000"/>
        </w:rPr>
        <w:t>”</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WHEREAS, the Company and Executive wish to enter into this Agreement setting forth terms and conditions of Executive’s employment.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NOW, THEREFORE, in consideration of the premises and mutual benefits to be derived herefrom and other good and valuable consideration, the receipt and sufficiency of which are hereby acknowledged by the Company and Executive, the parties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w:t>
      </w:r>
      <w:r>
        <w:rPr>
          <w:rFonts w:ascii="Times New Roman;sans-serif" w:hAnsi="Times New Roman;sans-serif"/>
          <w:b w:val="false"/>
          <w:color w:val="000000"/>
          <w:sz w:val="21"/>
          <w:u w:val="single"/>
        </w:rPr>
        <w:t>Employment; Term</w:t>
      </w:r>
      <w:r>
        <w:rPr>
          <w:rFonts w:ascii="Times New Roman;sans-serif" w:hAnsi="Times New Roman;sans-serif"/>
          <w:b w:val="false"/>
          <w:color w:val="000000"/>
          <w:sz w:val="21"/>
        </w:rPr>
        <w:t>. The Company hereby agrees to employ Executive, and Executive hereby accepts employment with the Company, in accordance with and subject to the terms and conditions set forth in this Agreement. This term of employment of Executive under this Agreement (the “</w:t>
      </w:r>
      <w:r>
        <w:rPr>
          <w:rFonts w:ascii="Times New Roman;sans-serif" w:hAnsi="Times New Roman;sans-serif"/>
          <w:b w:val="false"/>
          <w:color w:val="000000"/>
          <w:sz w:val="21"/>
          <w:u w:val="single"/>
        </w:rPr>
        <w:t>Term</w:t>
      </w:r>
      <w:r>
        <w:rPr>
          <w:color w:val="000000"/>
        </w:rPr>
        <w:t>”</w:t>
      </w:r>
      <w:r>
        <w:rPr>
          <w:rFonts w:ascii="Times New Roman;sans-serif" w:hAnsi="Times New Roman;sans-serif"/>
          <w:b w:val="false"/>
          <w:color w:val="000000"/>
          <w:sz w:val="21"/>
        </w:rPr>
        <w:t xml:space="preserve">) shall be the period commencing on August 25, 2023 and continuing for three (3) years thereafter, as may be extended in accordance with this Section 1 and subject to earlier termination in accordance with Section 4. The Term shall be extended automatically without further action by either party by one (1) additional year (added to the end of the Term), and then on each succeeding annual anniversary thereafter, unless either party shall have given written notice to the other party prior to the date which is sixty (60) days prior to the date upon which such extension would otherwise have become effective electing not to further extend the Term, in which case Executive’s employment shall terminate on the date upon which such extension would otherwise have become effective, unless earlier terminated in accordance with Section 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2.</w:t>
      </w:r>
      <w:r>
        <w:rPr>
          <w:rFonts w:ascii="Times New Roman;sans-serif" w:hAnsi="Times New Roman;sans-serif"/>
          <w:b w:val="false"/>
          <w:color w:val="000000"/>
          <w:sz w:val="21"/>
          <w:u w:val="single"/>
        </w:rPr>
        <w:t>Position and Duties</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During the Term,</w:t>
      </w:r>
      <w:r>
        <w:rPr>
          <w:color w:val="000000"/>
        </w:rPr>
        <w:t xml:space="preserve"> </w:t>
      </w:r>
      <w:r>
        <w:rPr>
          <w:rFonts w:ascii="Times New Roman;sans-serif" w:hAnsi="Times New Roman;sans-serif"/>
          <w:b w:val="false"/>
          <w:color w:val="000000"/>
          <w:sz w:val="21"/>
        </w:rPr>
        <w:t>Executive will serve as Senior Vice President and Chief Accounting Officer of the Company and as an officer or director of any subsidiary or affiliate of the Company if elected or appointed to such positions, as applicable, during the Term. In such capacities, Executive shall perform such duties and shall have such responsibilities as are normally associated with such positions, and as otherwise may be assigned to Executive from time to time. Subject to Section 4(e), Executive’s functions, duties and responsibilities are subject to reasonable changes as the Company may in good faith determine from time to time. Executive hereby agrees to accept such employment and to serve the Company and its subsidiaries and affiliates to the best of Executive’s ability in such capacities, devoting all of Executive’s business time to such employment.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3.</w:t>
      </w:r>
      <w:r>
        <w:rPr>
          <w:rFonts w:ascii="Times New Roman;sans-serif" w:hAnsi="Times New Roman;sans-serif"/>
          <w:b w:val="false"/>
          <w:color w:val="000000"/>
          <w:sz w:val="21"/>
          <w:u w:val="single"/>
        </w:rPr>
        <w:t>Compensation</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i/>
          <w:color w:val="000000"/>
          <w:sz w:val="21"/>
        </w:rPr>
        <w:t>Base Salary</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During the Term,</w:t>
      </w:r>
      <w:r>
        <w:rPr>
          <w:color w:val="000000"/>
        </w:rPr>
        <w:t xml:space="preserve"> </w:t>
      </w:r>
      <w:r>
        <w:rPr>
          <w:rFonts w:ascii="Times New Roman;sans-serif" w:hAnsi="Times New Roman;sans-serif"/>
          <w:b w:val="false"/>
          <w:color w:val="000000"/>
          <w:sz w:val="21"/>
        </w:rPr>
        <w:t>Executive will receive a base salary of four hundred thousand U.S. dollars (US$400,000) per annum (pro-rated for any partial year), payable in accordance with the Company’s regular payroll practices and subject to such deductions or amounts to be withheld as required by applicable law and regulations or as may be agreed to by Executive. In the event that the Company, in its sole discretion, from time to time determines to increase Executive’s base salary, such increased amount shall, from and after the effective date of such increase, constitute the “</w:t>
      </w:r>
      <w:r>
        <w:rPr>
          <w:rFonts w:ascii="Times New Roman;sans-serif" w:hAnsi="Times New Roman;sans-serif"/>
          <w:b w:val="false"/>
          <w:color w:val="000000"/>
          <w:sz w:val="21"/>
          <w:u w:val="single"/>
        </w:rPr>
        <w:t>base salary</w:t>
      </w:r>
      <w:r>
        <w:rPr>
          <w:color w:val="000000"/>
        </w:rPr>
        <w:t xml:space="preserve">” </w:t>
      </w:r>
      <w:r>
        <w:rPr>
          <w:rFonts w:ascii="Times New Roman;sans-serif" w:hAnsi="Times New Roman;sans-serif"/>
          <w:b w:val="false"/>
          <w:color w:val="000000"/>
          <w:sz w:val="21"/>
        </w:rPr>
        <w:t>of Executive for purposes of this Agreement.</w:t>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i/>
          <w:color w:val="000000"/>
          <w:sz w:val="21"/>
        </w:rPr>
        <w:t>Incentive Compensation</w:t>
      </w:r>
      <w:r>
        <w:rPr>
          <w:rFonts w:ascii="Times New Roman;sans-serif" w:hAnsi="Times New Roman;sans-serif"/>
          <w:b w:val="false"/>
          <w:color w:val="000000"/>
          <w:sz w:val="21"/>
        </w:rPr>
        <w:t>. Executive shall have the opportunity annually to earn incentive compensation (“</w:t>
      </w:r>
      <w:r>
        <w:rPr>
          <w:rFonts w:ascii="Times New Roman;sans-serif" w:hAnsi="Times New Roman;sans-serif"/>
          <w:b w:val="false"/>
          <w:color w:val="000000"/>
          <w:sz w:val="21"/>
          <w:u w:val="single"/>
        </w:rPr>
        <w:t>Incentive Compensation</w:t>
      </w:r>
      <w:r>
        <w:rPr>
          <w:color w:val="000000"/>
        </w:rPr>
        <w:t>”</w:t>
      </w:r>
      <w:r>
        <w:rPr>
          <w:rFonts w:ascii="Times New Roman;sans-serif" w:hAnsi="Times New Roman;sans-serif"/>
          <w:b w:val="false"/>
          <w:color w:val="000000"/>
          <w:sz w:val="21"/>
        </w:rPr>
        <w:t>) during the Term in amounts determined by the Compensation Committee of the Board (the “</w:t>
      </w:r>
      <w:r>
        <w:rPr>
          <w:rFonts w:ascii="Times New Roman;sans-serif" w:hAnsi="Times New Roman;sans-serif"/>
          <w:b w:val="false"/>
          <w:color w:val="000000"/>
          <w:sz w:val="21"/>
          <w:u w:val="single"/>
        </w:rPr>
        <w:t>Compensation Committee</w:t>
      </w:r>
      <w:r>
        <w:rPr>
          <w:color w:val="000000"/>
        </w:rPr>
        <w:t>”</w:t>
      </w:r>
      <w:r>
        <w:rPr>
          <w:rFonts w:ascii="Times New Roman;sans-serif" w:hAnsi="Times New Roman;sans-serif"/>
          <w:b w:val="false"/>
          <w:color w:val="000000"/>
          <w:sz w:val="21"/>
        </w:rPr>
        <w:t>) in its sole discretion in accordance with the applicable incentive compensation plan of the Company as in effect from time to time (the “</w:t>
      </w:r>
      <w:r>
        <w:rPr>
          <w:rFonts w:ascii="Times New Roman;sans-serif" w:hAnsi="Times New Roman;sans-serif"/>
          <w:b w:val="false"/>
          <w:color w:val="000000"/>
          <w:sz w:val="21"/>
          <w:u w:val="single"/>
        </w:rPr>
        <w:t>Incentive Compensation Plan</w:t>
      </w:r>
      <w:r>
        <w:rPr>
          <w:color w:val="000000"/>
        </w:rPr>
        <w:t>”</w:t>
      </w:r>
      <w:r>
        <w:rPr>
          <w:rFonts w:ascii="Times New Roman;sans-serif" w:hAnsi="Times New Roman;sans-serif"/>
          <w:b w:val="false"/>
          <w:color w:val="000000"/>
          <w:sz w:val="21"/>
        </w:rPr>
        <w:t>). Under such Incentive Compensation Plan, Executive shall have the opportunity annually to earn up to 50% of Executive’s base salary as Incentive Compensation at “target opportunity” (“</w:t>
      </w:r>
      <w:r>
        <w:rPr>
          <w:rFonts w:ascii="Times New Roman;sans-serif" w:hAnsi="Times New Roman;sans-serif"/>
          <w:b w:val="false"/>
          <w:color w:val="000000"/>
          <w:sz w:val="21"/>
          <w:u w:val="single"/>
        </w:rPr>
        <w:t>Target Bonus</w:t>
      </w:r>
      <w:r>
        <w:rPr>
          <w:color w:val="000000"/>
        </w:rPr>
        <w:t>”</w:t>
      </w:r>
      <w:r>
        <w:rPr>
          <w:rFonts w:ascii="Times New Roman;sans-serif" w:hAnsi="Times New Roman;sans-serif"/>
          <w:b w:val="false"/>
          <w:color w:val="000000"/>
          <w:sz w:val="21"/>
        </w:rPr>
        <w:t xml:space="preserve">) on the terms and subject to the conditions of such Incentive Compensation Plan (any such Incentive Compensation to be subject to such deductions or amounts to be withheld as required by applicable law and regulations or as may be agreed to by Executive).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(c)</w:t>
      </w:r>
      <w:r>
        <w:rPr>
          <w:rFonts w:ascii="Times New Roman;sans-serif" w:hAnsi="Times New Roman;sans-serif"/>
          <w:b w:val="false"/>
          <w:i/>
          <w:color w:val="000000"/>
          <w:sz w:val="21"/>
        </w:rPr>
        <w:t>Eligibility for Annual Equity Awards</w:t>
      </w:r>
      <w:r>
        <w:rPr>
          <w:rFonts w:ascii="Times New Roman;sans-serif" w:hAnsi="Times New Roman;sans-serif"/>
          <w:b w:val="false"/>
          <w:color w:val="000000"/>
          <w:sz w:val="21"/>
        </w:rPr>
        <w:t>. Starting in 2024, Executive shall be eligible to receive an annual grant of stock options, restricted stock units or other equity awards with a grant date fair value equal to approximately 100% of Executive’s base salary, as measured in accordance with the Company’s standard practices of measuring equity value, and in accordance with the applicable plans and programs of the Company for executives of the Company and subject to the Company’s right to at any time amend or terminate any such plan or program, so long as any such change does not adversely affect any accrued or vested interest of Executive under any such plan or program. Equity awards granted pursuant to this Agreement shall be subject to the terms of the Company’s standard form of award agreement under the Incentive Compensation Plan modified to provide that, if Executive remains employed by the Company through the date when he becomes 65 years of age and retires at any time thereafter, any unvested equity held by Executive as of that retirement date shall vest ten days after such retirement, subject to the achievement of any applicable performance criteria; provided that, settlement of any such awards shall be in accordance with Section 4(g).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(d)</w:t>
      </w:r>
      <w:r>
        <w:rPr>
          <w:rFonts w:ascii="Times New Roman;sans-serif" w:hAnsi="Times New Roman;sans-serif"/>
          <w:b w:val="false"/>
          <w:i/>
          <w:color w:val="000000"/>
          <w:sz w:val="21"/>
        </w:rPr>
        <w:t>Expense Reimbursement</w:t>
      </w:r>
      <w:r>
        <w:rPr>
          <w:rFonts w:ascii="Times New Roman;sans-serif" w:hAnsi="Times New Roman;sans-serif"/>
          <w:b w:val="false"/>
          <w:color w:val="000000"/>
          <w:sz w:val="21"/>
        </w:rPr>
        <w:t>. Subject to Section 3(f), during the Term the Company shall reimburse Executive for all reasonable and necessary travel and other business expenses incurred by Executive in connection with the performance of Executive’s duties under this Agreement, on a timely basis upon timely submission by Executive of vouchers therefor in accordance with the Company’s standard policies and procedures.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(e)</w:t>
      </w:r>
      <w:r>
        <w:rPr>
          <w:rFonts w:ascii="Times New Roman;sans-serif" w:hAnsi="Times New Roman;sans-serif"/>
          <w:b w:val="false"/>
          <w:i/>
          <w:color w:val="000000"/>
          <w:sz w:val="21"/>
        </w:rPr>
        <w:t>Employee Benefits</w:t>
      </w:r>
      <w:r>
        <w:rPr>
          <w:rFonts w:ascii="Times New Roman;sans-serif" w:hAnsi="Times New Roman;sans-serif"/>
          <w:b w:val="false"/>
          <w:color w:val="000000"/>
          <w:sz w:val="21"/>
        </w:rPr>
        <w:t xml:space="preserve">. During the Term, Executive shall be entitled to participate, without discrimination or duplication, in any and all medical insurance, group health, disability, life insurance, accidental death and dismemberment insurance, 401(k) or other retirement, deferred compensation, stock ownership and such other plans and programs which are made generally available by the Company to similarly situated executives of the Company in accordance with the terms of such plans and programs and subject to the right of the Company (or its applicable affiliate) to at any time amend or terminate any such plan or program. Executive shall be entitled to paid time off, holidays and any other time off in accordance with the Company’s policies in effect from time to time.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(f)</w:t>
      </w:r>
      <w:r>
        <w:rPr>
          <w:rFonts w:ascii="Times New Roman;sans-serif" w:hAnsi="Times New Roman;sans-serif"/>
          <w:b w:val="false"/>
          <w:i/>
          <w:color w:val="000000"/>
          <w:sz w:val="21"/>
        </w:rPr>
        <w:t>Taxes and Internal Revenue Code 409A</w:t>
      </w:r>
      <w:r>
        <w:rPr>
          <w:rFonts w:ascii="Times New Roman;sans-serif" w:hAnsi="Times New Roman;sans-serif"/>
          <w:b w:val="false"/>
          <w:color w:val="000000"/>
          <w:sz w:val="21"/>
        </w:rPr>
        <w:t xml:space="preserve">. Payment of all compensation and benefits to Executive under this Agreement shall be subject to all legally required and customary withholdings. The Company makes no representations or warranties and shall have no responsibility regarding the tax implications of the compensation and benefits to be paid to Executive under this Agreement, including under Section 409A of the Internal Revenue Code of 1986, as amended (the “Code”), and applicable administrative guidance and regulations (“Section 409A”). Section 409A governs plans and arrangements that provide “nonqualified deferred compensation” (as defined under the Code) which may include, among others, nonqualified retirement plans, bonus plans, stock option plans, employment agreements and severance agreements. The Company reserves the right to pay compensation and provide benefits under this Agreement (including under Section 3 and Section 4) in amounts, at times and in a manner that minimizes taxes, interest or penalties as a result of Section 409A. In addition, in the event any benefits or amounts paid to Executive hereunder are deemed to be subject to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8275"/>
                <wp:effectExtent l="0" t="0" r="0" b="0"/>
                <wp:wrapNone/>
                <wp:docPr id="65" name="Frame51"/>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Section 409A, Executive consents to the Company adopting such conforming amendments as the Company deems necessary, in its reasonable discretion, to comply with Section 409A (including delaying payment until six (6) months following termination of employment). To the extent any payments of money or other benefits due to Executive hereunder could cause the application of an accelerated or additional tax under Section 409A, such payments or other benefits may be deferred if deferral will make such payment or other benefits compliant under Section 409A, or otherwise such payments or other benefits shall be restructured, to the extent permissible under Section 409A, in a manner determined by the Company that does not cause such an accelerated or additional tax. To the extent any reimbursements or in-kind benefits due to Executive under this Agreement constitute deferred compensation under Section 409A, any such reimbursements or in-kind benefits shall be paid to Executive in a manner consistent with Treas. Reg. Section 1.409A-3(i)(1)(iv). Each payment made under this Agreement shall be designated as a “separate payment” within the meaning of Section 409A.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(g)</w:t>
      </w:r>
      <w:r>
        <w:rPr>
          <w:rFonts w:ascii="Times New Roman;sans-serif" w:hAnsi="Times New Roman;sans-serif"/>
          <w:b w:val="false"/>
          <w:i/>
          <w:color w:val="000000"/>
          <w:sz w:val="21"/>
        </w:rPr>
        <w:t>Equity Awards Prior to the Effective Date</w:t>
      </w:r>
      <w:r>
        <w:rPr>
          <w:rFonts w:ascii="Times New Roman;sans-serif" w:hAnsi="Times New Roman;sans-serif"/>
          <w:b w:val="false"/>
          <w:color w:val="000000"/>
          <w:sz w:val="21"/>
        </w:rPr>
        <w:t>. Executive received certain equity awards prior to the Effective Date. Those awards will continue to vest according to the terms on which they were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4.</w:t>
      </w:r>
      <w:r>
        <w:rPr>
          <w:rFonts w:ascii="Times New Roman;sans-serif" w:hAnsi="Times New Roman;sans-serif"/>
          <w:b w:val="false"/>
          <w:color w:val="000000"/>
          <w:sz w:val="21"/>
          <w:u w:val="single"/>
        </w:rPr>
        <w:t>Termination of Employment</w:t>
      </w:r>
      <w:r>
        <w:rPr>
          <w:rFonts w:ascii="Times New Roman;sans-serif" w:hAnsi="Times New Roman;sans-serif"/>
          <w:b w:val="false"/>
          <w:color w:val="000000"/>
          <w:sz w:val="21"/>
        </w:rPr>
        <w:t>. Executive’s employment may be terminated at any time prior to the end of the Term under the terms described in this Section 4, and the Term shall automatically terminate upon any termination of Executive’s employment. For purposes of clarification, except as provided in Section 5.6, all stock options, restricted stock units and other equity-based awards will be governed by the terms of the plans, grant agreements and programs under which such options, restricted stock units or other awards were granted on any termination of the Term and Executive’s employment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i/>
          <w:color w:val="000000"/>
          <w:sz w:val="21"/>
        </w:rPr>
        <w:t>Termination by Executive for Other than Good Reason</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 xml:space="preserve">Executive may terminate Executive’s employment hereunder for any reason or no reason upon 60 days’ prior written notice to the Company referring to this Section 4(a);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a termination by Executive for “Good Reason” (as defined below) shall not constitute a termination by Executive for other than Good Reason pursuant to this Section 4(a). In the event Executive terminates Executive’s employment for other than Good Reason, Executive shall be entitled only to the following compensation and benefits (the payments set forth in Sections 4(a)(i) – 4(a)(iii), collectively, the “</w:t>
      </w:r>
      <w:r>
        <w:rPr>
          <w:rFonts w:ascii="Times New Roman;sans-serif" w:hAnsi="Times New Roman;sans-serif"/>
          <w:b w:val="false"/>
          <w:color w:val="000000"/>
          <w:sz w:val="21"/>
          <w:u w:val="single"/>
        </w:rPr>
        <w:t>Standard Termination Payments</w:t>
      </w:r>
      <w:r>
        <w:rPr>
          <w:color w:val="000000"/>
        </w:rPr>
        <w:t>”</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(i)any accrued but unpaid base salary for services rendered by Executive to the date of such termination, payable in accordance with the Company’s regular payroll practices and subject to such deductions or amounts to be withheld as required by applicable law and regulations or as may be agreed to by Executive;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(ii)any vested non-forfeitable amounts owing or accrued at the date of such termination under benefit plans, programs and arrangements set forth or referred to in Section 3(e) in which Executive participated during the Term (which will be paid under the terms and conditions of such plans, programs, and arrangements (and agreements and documents thereunder)) and, excluding, for the avoidance of doubt, any termination for Cause, any vesting to which Executive is entitled due to retirement;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(iii)reasonable business expenses and disbursements incurred by Executive prior to such termination will be reimbursed in accordance with Section 3(d).</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i/>
          <w:color w:val="000000"/>
          <w:sz w:val="21"/>
        </w:rPr>
        <w:t>Termination By Reason of Death</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 xml:space="preserve">If Executive dies during the Term, the last beneficiary designated by Executive by written notice to the Company (or, in the absence of such designation, Executive’s estate) shall be entitled only to the Standard Termination Payments,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8275"/>
                <wp:effectExtent l="0" t="0" r="0" b="0"/>
                <wp:wrapNone/>
                <wp:docPr id="66" name="Frame52"/>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any benefits that may be payable under any life insurance benefit of Executive for which the Company pays premiums, in accordance with the terms of any such benefit and subject to the right of the Company (or its applicable affiliate) to at any time amend or terminate any such benefit.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(c)</w:t>
      </w:r>
      <w:r>
        <w:rPr>
          <w:rFonts w:ascii="Times New Roman;sans-serif" w:hAnsi="Times New Roman;sans-serif"/>
          <w:b w:val="false"/>
          <w:i/>
          <w:color w:val="000000"/>
          <w:sz w:val="21"/>
        </w:rPr>
        <w:t>Termination By Reason of Total Disability</w:t>
      </w:r>
      <w:r>
        <w:rPr>
          <w:rFonts w:ascii="Times New Roman;sans-serif" w:hAnsi="Times New Roman;sans-serif"/>
          <w:b w:val="false"/>
          <w:color w:val="000000"/>
          <w:sz w:val="21"/>
        </w:rPr>
        <w:t>. The Company may terminate Executive’s employment</w:t>
      </w:r>
      <w:r>
        <w:rPr>
          <w:color w:val="000000"/>
        </w:rPr>
        <w:t xml:space="preserve"> </w:t>
      </w:r>
      <w:r>
        <w:rPr>
          <w:rFonts w:ascii="Times New Roman;sans-serif" w:hAnsi="Times New Roman;sans-serif"/>
          <w:b w:val="false"/>
          <w:color w:val="000000"/>
          <w:sz w:val="21"/>
        </w:rPr>
        <w:t>in the event of Executive’s “Total Disability.” For purposes of this Agreement, “</w:t>
      </w:r>
      <w:r>
        <w:rPr>
          <w:rFonts w:ascii="Times New Roman;sans-serif" w:hAnsi="Times New Roman;sans-serif"/>
          <w:b w:val="false"/>
          <w:color w:val="000000"/>
          <w:sz w:val="21"/>
          <w:u w:val="single"/>
        </w:rPr>
        <w:t>Total Disability</w:t>
      </w:r>
      <w:r>
        <w:rPr>
          <w:color w:val="000000"/>
        </w:rPr>
        <w:t xml:space="preserve">” </w:t>
      </w:r>
      <w:r>
        <w:rPr>
          <w:rFonts w:ascii="Times New Roman;sans-serif" w:hAnsi="Times New Roman;sans-serif"/>
          <w:b w:val="false"/>
          <w:color w:val="000000"/>
          <w:sz w:val="21"/>
        </w:rPr>
        <w:t xml:space="preserve">shall mean Executive’s (1) becoming eligible to receive benefits under any long-term disability insurance program of the Company or (2) failure to perform the duties and responsibilities contemplated under this Agreement for a period of more than 180 days during any consecutive 12-month period due to physical or mental incapacity or impairment. In the event that Executive’s employment is terminated by the Company by reason of Total Disability, Executive shall not be entitled to receive any compensation or benefits under this Agreement except for the Standard Termination Payments;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the Executive may separately be entitled to disability payments pursuant to a disability plan sponsored or maintained by the Company or any of its affiliates providing benefits to Executive.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(d)</w:t>
      </w:r>
      <w:r>
        <w:rPr>
          <w:rFonts w:ascii="Times New Roman;sans-serif" w:hAnsi="Times New Roman;sans-serif"/>
          <w:b w:val="false"/>
          <w:i/>
          <w:color w:val="000000"/>
          <w:sz w:val="21"/>
        </w:rPr>
        <w:t>Termination by the Company for Cause</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The Company may terminate the employment of Executive at any time for “Cause.” For purposes of this Agreement, “</w:t>
      </w:r>
      <w:r>
        <w:rPr>
          <w:rFonts w:ascii="Times New Roman;sans-serif" w:hAnsi="Times New Roman;sans-serif"/>
          <w:b w:val="false"/>
          <w:color w:val="000000"/>
          <w:sz w:val="21"/>
          <w:u w:val="single"/>
        </w:rPr>
        <w:t>Cause</w:t>
      </w:r>
      <w:r>
        <w:rPr>
          <w:color w:val="000000"/>
        </w:rPr>
        <w:t xml:space="preserve">” </w:t>
      </w:r>
      <w:r>
        <w:rPr>
          <w:rFonts w:ascii="Times New Roman;sans-serif" w:hAnsi="Times New Roman;sans-serif"/>
          <w:b w:val="false"/>
          <w:color w:val="000000"/>
          <w:sz w:val="21"/>
        </w:rPr>
        <w:t>shall mean: (i) gross neglect by Executive of Executive’s duties hereunder; (ii) Executive’s indictment for or conviction of a felony, or any non-felony crime or offense involving the property of the Company or any of its subsidiaries or affiliates or evidencing moral turpitude; (iii) willful misconduct by Executive in connection with the performance of Executive’s duties hereunder; (iv) intentional breach by Executive of any material provision of this Agreement; (v) material violation by Executive of a material provision of the Company’s Code of Business Conduct; (vi) Executive’s failure to qualify (or failure to remain qualified) under any suitability or licensing requirements to which Executive may be subject by reason of Executive’s position with the Company; (vii) Executive’s failure to cooperate with or respond to any regulatory requests for information in connection with such licensing requirements; (viii) Executive’s failure to timely file required license applications; (ix) the denial of any license application submitted by Executive; or (x) any other willful or grossly negligent conduct of Executive that would make the continued employment of Executive by the Company materially prejudicial to the best interests of the Company. In the event Executive’s employment is terminated for “Cause,” Executive shall not be entitled to receive any compensation or benefits under this Agreement except for the Standard Termination Payments.</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(e)</w:t>
      </w:r>
      <w:r>
        <w:rPr>
          <w:rFonts w:ascii="Times New Roman;sans-serif" w:hAnsi="Times New Roman;sans-serif"/>
          <w:b w:val="false"/>
          <w:i/>
          <w:color w:val="000000"/>
          <w:sz w:val="21"/>
        </w:rPr>
        <w:t>Termination by the Company without Cause or by Executive for Good Reason</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The Company may terminate Executive’s employment at any time without Cause, for any reason or no reason, and Executive may terminate Executive’s employment for “Good Reason.” For purposes of this Agreement “</w:t>
      </w:r>
      <w:r>
        <w:rPr>
          <w:rFonts w:ascii="Times New Roman;sans-serif" w:hAnsi="Times New Roman;sans-serif"/>
          <w:b w:val="false"/>
          <w:color w:val="000000"/>
          <w:sz w:val="21"/>
          <w:u w:val="single"/>
        </w:rPr>
        <w:t>Good Reason</w:t>
      </w:r>
      <w:r>
        <w:rPr>
          <w:color w:val="000000"/>
        </w:rPr>
        <w:t xml:space="preserve">” </w:t>
      </w:r>
      <w:r>
        <w:rPr>
          <w:rFonts w:ascii="Times New Roman;sans-serif" w:hAnsi="Times New Roman;sans-serif"/>
          <w:b w:val="false"/>
          <w:color w:val="000000"/>
          <w:sz w:val="21"/>
        </w:rPr>
        <w:t xml:space="preserve">shall mean that, without Executive’s prior written consent, any of the following shall have occurred: (A) a material adverse change to Executive’s positions, titles, offices, or duties, from those set forth in Section 2, except, in such case, in connection with the termination of Executive’s employment for Cause or due to Total Disability, death or expiration of the Term; (B) a material decrease in base salary or material decrease in Executive’s Incentive Compensation opportunity provided under this Agreement; or (C) any other material failure by the Company to perform any material obligation under, or material breach by the Company of any material provision of, this Agreement;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xml:space="preserve">, that a termination by Executive for Good Reason under any of clauses (A) through (C) of this Section 4(e) shall not be considered effective unless Executive shall have provided the Company with written notice of the specific reasons for such termination within thirty (30) days after Executive has knowledge of the event or circumstance constituting Good Reason and the Company shall have failed to cure the event or condition allegedly constituting Good Reason within thirty (30) days after such notice has been given to the Company and Executive actually terminates his employment within ninety (90) days following the initial occurrence of the event giving rise to Good Reason. In the event that Executive’s employment is terminated by the Company without Cause or by Executive for Good Reason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8275"/>
                <wp:effectExtent l="0" t="0" r="0" b="0"/>
                <wp:wrapNone/>
                <wp:docPr id="67" name="Frame53"/>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(and not, for the avoidance of doubt, in the event of a termination pursuant to Section 4(a), (b), (c) or (d) or due to or non-renewal of the Term), the Company shall pay or provide the following amounts to Executive: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(i)the Standard Termination Payments;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(ii)an amount equal to the Executive’s base salary then in effect, payable in equal installments in accordance with the Company’s normal payroll practices over a period of twelve (12) months after such termination, and otherwise in accordance with Section 4(g);</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(iii)no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(iv)if Executive timely elects to continue medical coverage under the Company’s group health plan in accordance with COBRA, the full monthly premiums for such coverage on a monthly basis until the earlier of: (A) a period of twelve (12) months has elapsed; or (B) Executive is eligible for medical coverage under a plan provided by a new employer.</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(f)</w:t>
      </w:r>
      <w:r>
        <w:rPr>
          <w:rFonts w:ascii="Times New Roman;sans-serif" w:hAnsi="Times New Roman;sans-serif"/>
          <w:b w:val="false"/>
          <w:i/>
          <w:color w:val="000000"/>
          <w:sz w:val="21"/>
        </w:rPr>
        <w:t>Expiration of Term of Agreement.</w:t>
      </w:r>
      <w:r>
        <w:rPr>
          <w:color w:val="000000"/>
        </w:rPr>
        <w:t xml:space="preserve"> </w:t>
      </w:r>
      <w:r>
        <w:rPr>
          <w:rFonts w:ascii="Times New Roman;sans-serif" w:hAnsi="Times New Roman;sans-serif"/>
          <w:b w:val="false"/>
          <w:color w:val="000000"/>
          <w:sz w:val="21"/>
        </w:rPr>
        <w:t>In the event Executive’s employment is terminated by the Company at the end of the Term, the Company shall pay or provide the following amounts to Executive: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(i)the Standard Termination Payments;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(ii)an amount equal to the Executive’s base salary then in effect, payable in equal installments in accordance with the Company’s normal payroll practices over a period of twelve (12) months after such termination, and otherwise in accordance with Section 4(g);</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(iii)no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(iv)if Executive timely elects to continue medical coverage under the Company’s group health plan in accordance with COBRA, the full monthly premiums for such coverage on a monthly basis until the earlier of: (A) a period of twelve (12) months has elapsed; or (B) Executive is eligible for medical coverage under a plan provided by a new employer.</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8275"/>
                <wp:effectExtent l="0" t="0" r="0" b="0"/>
                <wp:wrapNone/>
                <wp:docPr id="68" name="Frame54"/>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5</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(g)</w:t>
      </w:r>
      <w:r>
        <w:rPr>
          <w:rFonts w:ascii="Times New Roman;sans-serif" w:hAnsi="Times New Roman;sans-serif"/>
          <w:b w:val="false"/>
          <w:i/>
          <w:color w:val="000000"/>
          <w:sz w:val="21"/>
        </w:rPr>
        <w:t>Timing of Certain Payments under Section 4</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For purposes of Section 409A, references herein to the Executive’s “termination of employment” shall refer to Executive’s separation of services with the Company within the meaning of Treas. Reg. Section 1.409A-1(h). If at the time of Executive’s separation of service with the Company other than as a result of Executive’s death, (i) Executive is a “specified employee” (as defined in Section 409A(a)(2)(B)(i) of the Code), (ii) one or more of the payments or benefits received or to be received by Executive pursuant to this Agreement would constitute deferred compensation subject to Section 409A, and (iii) the deferral of the commencement of any such payments or benefits otherwise payable hereunder as a result of such separation of service is necessary in order to prevent any accelerated or additional tax under Section 409A, such payments may be made as follows: (i) no payments for a six-month period following the date of Executive’s separation of service with the Company; (ii) an amount equal to the aggregate sum that would have been otherwise payable during the initial six-month period paid in a lump sum on the first payroll date following six (6) months following the date of Executive’s separation of service with the Company (subject to such deductions or amounts to be withheld as required by applicable law and regulations); and (iii) during the period beginning six (6) months following Executive’s separation of service with the Company through the remainder of the applicable period, payment of the remaining amount due in equal installments in accordance with the Company’s standard payroll practices (subject to such deductions or amounts to be withheld as required by applicable law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(h)</w:t>
      </w:r>
      <w:r>
        <w:rPr>
          <w:rFonts w:ascii="Times New Roman;sans-serif" w:hAnsi="Times New Roman;sans-serif"/>
          <w:b w:val="false"/>
          <w:i/>
          <w:color w:val="000000"/>
          <w:sz w:val="21"/>
        </w:rPr>
        <w:t>Mitigation</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In the event the Executive’s employment is terminated in accordance with Section 4(e) or (f) and Executive is employed by or otherwise engaged to provide services to another person or entity at any time prior to the end of any period of payments to or on behalf of Executive contemplated by this Section 4, (i) Executive shall immediately advise the Company of such employment or engagement and any health insurance benefits to which he is entitled in connection therewith, and (ii) the Company’s obligation to make continued health insurance payments to or on behalf of Executive shall be reduced by any health insurance coverage obtained by Executive during the applicable period through such other employment or engagement (without regard to when such coverage is paid).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(i)</w:t>
      </w:r>
      <w:r>
        <w:rPr>
          <w:rFonts w:ascii="Times New Roman;sans-serif" w:hAnsi="Times New Roman;sans-serif"/>
          <w:b w:val="false"/>
          <w:i/>
          <w:color w:val="000000"/>
          <w:sz w:val="21"/>
        </w:rPr>
        <w:t>Set-Off</w:t>
      </w:r>
      <w:r>
        <w:rPr>
          <w:rFonts w:ascii="Times New Roman;sans-serif" w:hAnsi="Times New Roman;sans-serif"/>
          <w:b w:val="false"/>
          <w:color w:val="000000"/>
          <w:sz w:val="21"/>
        </w:rPr>
        <w:t>. To the fullest extent permitted by law and provided an acceleration of income or the imposition of an additional tax under Section 409A would not result, any amounts otherwise due to Executive hereunder (including any payments pursuant to this Section 4) shall be subject to set-off with respect to any amounts Executive otherwise owes the Company or any subsidiary or affiliate thereof.</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(j)</w:t>
      </w:r>
      <w:r>
        <w:rPr>
          <w:rFonts w:ascii="Times New Roman;sans-serif" w:hAnsi="Times New Roman;sans-serif"/>
          <w:b w:val="false"/>
          <w:i/>
          <w:color w:val="000000"/>
          <w:sz w:val="21"/>
        </w:rPr>
        <w:t>No Other Benefits or Compensation</w:t>
      </w:r>
      <w:r>
        <w:rPr>
          <w:rFonts w:ascii="Times New Roman;sans-serif" w:hAnsi="Times New Roman;sans-serif"/>
          <w:b w:val="false"/>
          <w:color w:val="000000"/>
          <w:sz w:val="21"/>
        </w:rPr>
        <w:t xml:space="preserve">. Except as may be specifically provided under this Agreement, under any other effective written agreement between Executive and the Company that expressly survives execution of this Agreement, or under the terms of any plan or policy applicable to Executive, Executive shall have no right to receive any other compensation from the Company or any subsidiary or affiliate thereof, or to participate in any other plan, arrangement or benefit provided by the Company or any subsidiary or affiliate thereof, with respect to any future period after such termination or resignation. Executive acknowledges and agrees that Executive is entitled to no compensation or benefits from the Company or any of its subsidiaries or affiliates of any kind or nature whatsoever in respect of periods prior to the date of this Agreement. </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(k)</w:t>
      </w:r>
      <w:r>
        <w:rPr>
          <w:rFonts w:ascii="Times New Roman;sans-serif" w:hAnsi="Times New Roman;sans-serif"/>
          <w:b w:val="false"/>
          <w:i/>
          <w:color w:val="000000"/>
          <w:sz w:val="21"/>
        </w:rPr>
        <w:t>Release of Employment Claims; Compliance with Section 5</w:t>
      </w:r>
      <w:r>
        <w:rPr>
          <w:rFonts w:ascii="Times New Roman;sans-serif" w:hAnsi="Times New Roman;sans-serif"/>
          <w:b w:val="false"/>
          <w:color w:val="000000"/>
          <w:sz w:val="21"/>
        </w:rPr>
        <w:t xml:space="preserve">. Executive agrees, as a condition to receipt of any termination payments and benefits provided for in this Section 4 (other than the Standard Termination Payments), that Executive will execute a general release agreement, in a form reasonably satisfactory to the Company, releasing any and all claims arising out of Executive’s employment and the termination of such employment. The Company shall provide Executive with the proposed form of general release agreement referred to in the immediately preceding sentence no later than seven (7) days following the date of termination. Executive shall thereupon have 21 days or, if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8275"/>
                <wp:effectExtent l="0" t="0" r="0" b="0"/>
                <wp:wrapNone/>
                <wp:docPr id="69" name="Frame55"/>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required by the Older Workers Benefit Protection Act, 45 days, to consider such general release agreement and, if he executes such general release agreement, shall have seven (7) days after execution of such general release agreement to revoke such general release agreement. Absent such revocation, such general release agreement shall become binding on Executive. If Executive does not revoke such general release agreement, payments contingent on such general release agreement that constitute deferred compensation under Section 409A (if any) shall be paid on the later of the 60th day after the date of termination or the date such payments are otherwise scheduled to be paid pursuant to this Agreement. The Company’s obligation to make any termination payments and benefits provided for in this Section 4 (other than the Standard Termination Payments) shall immediately cease if Executive willfully or materially breaches Section 5.1, 5.2, 5.3, 5.4, or 5.8.</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(l)</w:t>
      </w:r>
      <w:r>
        <w:rPr>
          <w:rFonts w:ascii="Times New Roman;sans-serif" w:hAnsi="Times New Roman;sans-serif"/>
          <w:b w:val="false"/>
          <w:i/>
          <w:color w:val="000000"/>
          <w:sz w:val="21"/>
        </w:rPr>
        <w:t>Section 280G</w:t>
      </w:r>
      <w:r>
        <w:rPr>
          <w:rFonts w:ascii="Times New Roman;sans-serif" w:hAnsi="Times New Roman;sans-serif"/>
          <w:b w:val="false"/>
          <w:color w:val="000000"/>
          <w:sz w:val="21"/>
        </w:rPr>
        <w:t>. If the aggregate of all amounts and benefits due to the Executive under this Agreement or any other plan, program, agreement or arrangement of the Company or any of its affiliates, which, if received by the Executive in full, would constitute “parachute payments,” as such term is defined in and under Section 280G of the Code (collectively, “Change in Control Benefits”), reduced by all Federal, state and local taxes applicable thereto, including the excise tax imposed pursuant to Section 4999 of the Code, is less than the amount the Executive would receive, after all such applicable taxes, if the Executive received aggregate Change in Control Benefits equal to an amount which is $1.00 less than three (3) times the Executive's “base amount,” as defined in and determined under Section 280G of the Code, then such Change in Control Benefits shall be reduced or eliminated to the extent necessary so that the Change in Control Benefits received by the Executive will not constitute parachute payments. If a reduction in the Change in Control Benefits is necessary, reduction shall occur in the following order unless the Executive elects in writing a different order, subject to the Company's consent (which shall not be unreasonably withheld or delayed): (i) severance payment based on multiple of base salary and/or Target Bonus; (ii) other cash payments; (iii) any pro-rated bonus paid as severance; (iv) acceleration of vesting of stock options with an exercise price that exceeds the then fair market value of stock subject to the option, provided such options are not permitted to be valued under Treasury Regulations Section 1.280G-1 Q/A – 24(c); (v) any equity awards accelerated or otherwise valued at full value, provided such equity awards are not permitted to be valued under Treasury Regulations Section 1.280G-1 Q/A – 24(c); (vi) acceleration of vesting of stock options with an exercise price that exceeds the then fair market value of stock subject to the option, provided such options are permitted to be valued under Treasury Regulations Section 1.280G-1 Q/A – 24(c); (vii) acceleration of vesting of all other stock options and equity awards; and (viii) within any category, reductions shall be from the last due payment to the first.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1"/>
        </w:rPr>
      </w:pPr>
      <w:r>
        <w:rPr>
          <w:rFonts w:ascii="Times New Roman;sans-serif" w:hAnsi="Times New Roman;sans-serif"/>
          <w:b w:val="false"/>
          <w:color w:val="000000"/>
          <w:sz w:val="21"/>
        </w:rPr>
        <w:t>It is possible that after the determinations and selections made pursuant to the preceding paragraph that the Executive will receive Change in Control Benefits that are, in the aggregate, either more or less than the amounts contemplated by the preceding paragraph (hereafter referred to as an “Excess Payment” or “Underpayment,” respectively). If there is an Excess Payment, the Executive shall promptly repay the Company an amount consistent with this paragraph. If there is an Underpayment, the Company shall pay the Executive an amount consistent with this paragraph.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5.</w:t>
      </w:r>
      <w:r>
        <w:rPr>
          <w:rFonts w:ascii="Times New Roman;sans-serif" w:hAnsi="Times New Roman;sans-serif"/>
          <w:b w:val="false"/>
          <w:color w:val="000000"/>
          <w:sz w:val="21"/>
          <w:u w:val="single"/>
        </w:rPr>
        <w:t>Noncompetition; Non-solicitation; Nondisclosure; etc</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5.1    Noncompetition; Non-solicitation</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color w:val="000000"/>
          <w:sz w:val="21"/>
        </w:rPr>
        <w:t xml:space="preserve">Executive acknowledges the highly competitive nature of the Company’s business and that access to the Company’s confidential records and proprietary information renders Executive special and unique within the Company’s industries. In addition to the protection of confidential records and proprietary information covered in Section 5.2, the provisions set forth in this Section 5.1 are necessary in order to protect the goodwill of the Company and the relationships developed by the Company with employees, customers and suppliers. In consideration of the amounts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8275"/>
                <wp:effectExtent l="0" t="0" r="0" b="0"/>
                <wp:wrapNone/>
                <wp:docPr id="70" name="Frame56"/>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1"/>
        </w:rPr>
        <w:t>that may hereafter be paid to Executive pursuant to this Agreement (including Sections 3 and 4), Executive agrees that during the Term (including any extensions thereof) and during the Covered Time, Executive, alone or with others, will not, directly or indirectly, engage (as owner, investor, partner, stockholder, employer, employee, consultant, advisor, director or otherwise) in any Competing Business. For purposes of this Section 5, “</w:t>
      </w:r>
      <w:r>
        <w:rPr>
          <w:rFonts w:ascii="Times New Roman;sans-serif" w:hAnsi="Times New Roman;sans-serif"/>
          <w:b w:val="false"/>
          <w:color w:val="000000"/>
          <w:sz w:val="21"/>
          <w:u w:val="single"/>
        </w:rPr>
        <w:t>Competing Business</w:t>
      </w:r>
      <w:r>
        <w:rPr>
          <w:color w:val="000000"/>
        </w:rPr>
        <w:t xml:space="preserve">” </w:t>
      </w:r>
      <w:r>
        <w:rPr>
          <w:rFonts w:ascii="Times New Roman;sans-serif" w:hAnsi="Times New Roman;sans-serif"/>
          <w:b w:val="false"/>
          <w:color w:val="000000"/>
          <w:sz w:val="21"/>
        </w:rPr>
        <w:t xml:space="preserve">shall mean any business or operations: (i)(A) involving the design, development, manufacture, production, sale, lease, license, provision, operation or management (as the case may be) of (1) gaming machines, terminals or devices (including video or reel spinning slot machines, video poker machines, video lottery terminals and fixed odds betting terminals), (2) video gaming (including server-based gaming), sports betting or other wagering or gaming systems, regardless of whether such systems are land-based, internet-based or mobile (including control and monitoring systems, local or wide-area progressive systems and redemption systems); (3)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(4) social casino games or websites or mobile phone or tablet applications (or similar known, or hereafter existing, technologies) featuring social casino games or any related marketing, distribution, or other services or programs; (5) interactive casino gaming products or services, including interactive casino-game themed games and platforms for websites or mobile phone or tablet applications (or similar known, or hereafter existing, technologies); (6) gaming utility products (including shufflers, card-reading shoes, deck checkers and roulette chip sorters), table games (including live, simulated, online, social gaming, interactive and electronic) and related products and services; (7) slot accounting, casino management, casino marketing, player tracking, bingo or similar gaming- or casino-related systems and related peripheral hardware, software and services; or (8) ancillary products (including equipment, hardware, software, marketing materials, chairs and signage) or services (including field service, maintenance and support) related to any of the foregoing under sub-clauses (1) through (8) above; </w:t>
      </w:r>
      <w:r>
        <w:rPr>
          <w:rFonts w:ascii="Times New Roman;sans-serif" w:hAnsi="Times New Roman;sans-serif"/>
          <w:b w:val="false"/>
          <w:color w:val="000000"/>
          <w:sz w:val="21"/>
          <w:u w:val="single"/>
        </w:rPr>
        <w:t>or</w:t>
      </w:r>
      <w:r>
        <w:rPr>
          <w:color w:val="000000"/>
        </w:rPr>
        <w:t xml:space="preserve"> </w:t>
      </w:r>
      <w:r>
        <w:rPr>
          <w:rFonts w:ascii="Times New Roman;sans-serif" w:hAnsi="Times New Roman;sans-serif"/>
          <w:b w:val="false"/>
          <w:color w:val="000000"/>
          <w:sz w:val="21"/>
        </w:rPr>
        <w:t>(B) in which the Company is then or was within the previous 12 months engaged, or in which the Company, to Executive’s knowledge, contemplates to engage in during the Term or the Covered Time; (ii) in which Executive was engaged or involved (whether in an executive or supervisory capacity or otherwise) on behalf of the Company or with respect to which Executive has obtained proprietary or confidential information; and (iii) which were conducted anywhere in the United States or in any other geographic area in which such business was conducted or contemplated to be conducted by the Company. Notwithstanding anything to the contrary in the foregoing, the holding of up to one percent (1%) of the outstanding equity in a publicly traded entity for passive investment purposes shall not, in and of itself, be construed as engaging in a Competing Business.</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color w:val="000000"/>
          <w:sz w:val="21"/>
        </w:rPr>
        <w:t xml:space="preserve">In further consideration of the amounts that may hereafter be paid to Executive pursuant to this Agreement (including Sections 3 and 4), Executive agrees that, during the Term (including any extensions thereof) and during the Covered Time, Executive shall not, directly or indirectly: (i) solicit or attempt to induce any of the employees, agents, consultants or representatives of the Company to terminate his, her, or its relationship with the Company; (ii) solicit or attempt to induce any of the employees, agents, consultants or representatives of the Company to become employees, agents, consultants or representatives of any other person or entity; or (iii) solicit or attempt to induce any customer, vendor or distributor of the Company to curtail or cancel any business with the Company; or (iv) hire any person who, to Executive’s actual knowledge, is, or was within 180 days prior to such hiring, an employee of the Company. Sections (i) and (ii) are limited to employees, agents, consultants and representatives with whom Executive had material contact for the purpose of performing Executive’s job duties or about whom Executive obtained confidential information during Executive’s employment. Section (iii) is limited to customers, vendors and distributors with whom Executive had material contact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8275"/>
                <wp:effectExtent l="0" t="0" r="0" b="0"/>
                <wp:wrapNone/>
                <wp:docPr id="71" name="Frame57"/>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for the purpose of performing his job duties, or about whom Executive obtained confidential information during his employment.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(c)</w:t>
      </w:r>
      <w:r>
        <w:rPr>
          <w:rFonts w:ascii="Times New Roman;sans-serif" w:hAnsi="Times New Roman;sans-serif"/>
          <w:b w:val="false"/>
          <w:color w:val="000000"/>
          <w:sz w:val="21"/>
        </w:rPr>
        <w:t>During the Term (including any extensions thereof) and during the Covered Time, Executive agrees that upon the earlier of Executive’s (i) negotiating with any Competitor (as defined below) concerning the possible employment of Executive by the Competitor, (ii) responding to (other than for the purpose of declining) an offer of employment from a Competitor, or (iii) becoming employed by a Competitor, (A) Executive will provide copies of Section 5 of this Agreement to the Competitor, and (B) in the case of any circumstance described in (iii) above occurring during the Covered Time, and in the case of any circumstance described in (i) or (ii) above occurring during the Term or during the Covered Time, Executive will promptly provide notice to the Company of such circumstances. Executive further agrees that the Company may provide notice to a Competitor of Executive’s obligations under this Agreement. For purposes of this Agreement, “</w:t>
      </w:r>
      <w:r>
        <w:rPr>
          <w:rFonts w:ascii="Times New Roman;sans-serif" w:hAnsi="Times New Roman;sans-serif"/>
          <w:b w:val="false"/>
          <w:color w:val="000000"/>
          <w:sz w:val="21"/>
          <w:u w:val="single"/>
        </w:rPr>
        <w:t>Competitor</w:t>
      </w:r>
      <w:r>
        <w:rPr>
          <w:color w:val="000000"/>
        </w:rPr>
        <w:t xml:space="preserve">” </w:t>
      </w:r>
      <w:r>
        <w:rPr>
          <w:rFonts w:ascii="Times New Roman;sans-serif" w:hAnsi="Times New Roman;sans-serif"/>
          <w:b w:val="false"/>
          <w:color w:val="000000"/>
          <w:sz w:val="21"/>
        </w:rPr>
        <w:t>shall mean any person or entity (other than the Company, its subsidiaries or affiliates) that engages, directly or indirectly, in the United States or any other geographic area in any Competing Business.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(d)</w:t>
      </w:r>
      <w:r>
        <w:rPr>
          <w:rFonts w:ascii="Times New Roman;sans-serif" w:hAnsi="Times New Roman;sans-serif"/>
          <w:b w:val="false"/>
          <w:color w:val="000000"/>
          <w:sz w:val="21"/>
        </w:rPr>
        <w:t>Executive understands that the restrictions in this Section 5.1 may limit Executive’s ability to earn a livelihood in a business similar to the business of the Company but nevertheless agrees and acknowledges that the consideration provided under this Agreement (including Sections 3 and 4) is sufficient to justify such restrictions. In consideration thereof and in light of Executive’s education, skills and abilities, Executive agrees that Executive will not assert in any forum that such restrictions prevent Executive from earning a living or otherwise should be held void or unenforceable.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(e)</w:t>
      </w:r>
      <w:r>
        <w:rPr>
          <w:rFonts w:ascii="Times New Roman;sans-serif" w:hAnsi="Times New Roman;sans-serif"/>
          <w:b w:val="false"/>
          <w:color w:val="000000"/>
          <w:sz w:val="21"/>
        </w:rPr>
        <w:t xml:space="preserve">For purposes of this Agreement, “Covered Time” shall mean the period beginning on the date of termination of Executive’s employment (the “Date of Termination”) and ending twelve (12) months after the Date of Termination.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(f)</w:t>
      </w:r>
      <w:r>
        <w:rPr>
          <w:rFonts w:ascii="Times New Roman;sans-serif" w:hAnsi="Times New Roman;sans-serif"/>
          <w:b w:val="false"/>
          <w:color w:val="000000"/>
          <w:sz w:val="21"/>
        </w:rPr>
        <w:t>In the event that a court of competent jurisdiction or arbitrator(s), as the case may be, determine that the provisions of this Section 5.1 are unenforceable for any reason, the parties acknowledge and agree that the court or arbitrator(s) is expressly empowered to reform any provision of this Section so as to make them enforceable as described in Section 10 below.</w:t>
      </w:r>
    </w:p>
    <w:p>
      <w:pPr>
        <w:pStyle w:val="TextBody"/>
        <w:bidi w:val="0"/>
        <w:spacing w:before="0" w:after="0"/>
        <w:ind w:left="0" w:right="0" w:firstLine="1080"/>
        <w:jc w:val="both"/>
        <w:rPr/>
      </w:pPr>
      <w:r>
        <w:rPr/>
      </w:r>
    </w:p>
    <w:p>
      <w:pPr>
        <w:pStyle w:val="TextBody"/>
        <w:bidi w:val="0"/>
        <w:spacing w:lineRule="auto" w:line="288" w:before="0" w:after="0"/>
        <w:ind w:left="0" w:right="0" w:firstLine="1440"/>
        <w:jc w:val="both"/>
        <w:rPr>
          <w:rFonts w:ascii="Times New Roman;sans-serif" w:hAnsi="Times New Roman;sans-serif"/>
          <w:b w:val="false"/>
          <w:i/>
          <w:color w:val="000000"/>
          <w:sz w:val="21"/>
        </w:rPr>
      </w:pPr>
      <w:r>
        <w:rPr>
          <w:rFonts w:ascii="Times New Roman;sans-serif" w:hAnsi="Times New Roman;sans-serif"/>
          <w:b w:val="false"/>
          <w:i/>
          <w:color w:val="000000"/>
          <w:sz w:val="21"/>
        </w:rPr>
        <w:t>5.2    Proprietary Information; Inventions.</w:t>
      </w:r>
    </w:p>
    <w:p>
      <w:pPr>
        <w:pStyle w:val="TextBody"/>
        <w:bidi w:val="0"/>
        <w:spacing w:before="0" w:after="0"/>
        <w:ind w:left="0" w:right="0" w:firstLine="108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color w:val="000000"/>
          <w:sz w:val="21"/>
        </w:rPr>
        <w:t>Executive acknowledges that, during the course of Executive’s employment with the Company, Executive necessarily will have (and during any employment by, or affiliation with, the Company prior to the Effective Date has had) access to and make use of proprietary information and confidential records of the Company. Executive covenants that Executive shall not during the Term or at any time thereafter, directly or indirectly, use for Executive’s own purpose or for the benefit of any person or entity other than the Company, nor otherwise disclose to any person or entity, any such proprietary information, unless and to the extent such disclosure has been authorized in writing by the Company or is otherwise required by law. The term “</w:t>
      </w:r>
      <w:r>
        <w:rPr>
          <w:rFonts w:ascii="Times New Roman;sans-serif" w:hAnsi="Times New Roman;sans-serif"/>
          <w:b w:val="false"/>
          <w:color w:val="000000"/>
          <w:sz w:val="21"/>
          <w:u w:val="single"/>
        </w:rPr>
        <w:t>proprietary information</w:t>
      </w:r>
      <w:r>
        <w:rPr>
          <w:color w:val="000000"/>
        </w:rPr>
        <w:t xml:space="preserve">” </w:t>
      </w:r>
      <w:r>
        <w:rPr>
          <w:rFonts w:ascii="Times New Roman;sans-serif" w:hAnsi="Times New Roman;sans-serif"/>
          <w:b w:val="false"/>
          <w:color w:val="000000"/>
          <w:sz w:val="21"/>
        </w:rPr>
        <w:t xml:space="preserve">means: (i) the software products, programs, applications, and processes utilized by the Company; (ii) the name and/or address of any customer or vendor of the Company or any information concerning the transactions or relations of any customer or vendor of the Company with the Company; (iii) any information concerning any product, technology, or procedure employed by the Company but not generally known to its customers or vendors or competitors, or under development by or being tested by the Company but not at the time offered generally to customers or vendors; (iv) any information relating to the Company’s computer software, computer systems, pricing or marketing methods, sales margins, cost of goods, cost of material, capital structure, operating results, borrowing arrangements or business plans; (v) any information identified as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8275"/>
                <wp:effectExtent l="0" t="0" r="0" b="0"/>
                <wp:wrapNone/>
                <wp:docPr id="72" name="Frame58"/>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1"/>
        </w:rPr>
        <w:t>confidential or proprietary in any line of business engaged in by the Company; (vi) any information that, to Executive’s actual knowledge, the Company ordinarily maintains as confidential or proprietary; (vii) any business plans, budgets, advertising or marketing plans; (viii) any information contained in any of the Company’s written or oral policies and procedures or manuals; (ix) any information belonging to customers, vendors or any other person or entity which the Company, to Executive’s actual knowledge, has agreed to hold in confidence; and (x) all written, graphic, electronic data and other material containing any of the foregoing. Executive acknowledges that information that is not novel or copyrighted or patented may nonetheless be proprietary information. The term “proprietary information” shall not include information generally known or available to the public, information that becomes available to Executive on an unrestricted, non-confidential basis from a source other than the Company or any of its directors, officers, employees, agents or other representatives (without breach of any obligation of confidentiality of which Executive has knowledge, after reasonable inquiry, at the time of the relevant disclosure by Executive), or general gaming industry information to the extent not particularly related or proprietary to the Company that was already known to Executive at the time Executive commenced his employment by the Company that is not subject to nondisclosure by virtue of Executive’s prior employment or otherwise. Notwithstanding the foregoing and Section 5.3, Executive may disclose or use proprietary information or confidential records solely to the extent (A) such disclosure or use may be required or appropriate in the performance of his duties as a director or employee of the Company, (B) required to do so by a court of law, by any governmental agency having supervisory authority over the business of the Company or by any administrative or legislative body (including a committee thereof) with apparent jurisdiction to order him to divulge, disclose or make accessible such information (provided that in such case Executive shall first give the Company prompt written notice of any such legal requirement, disclose no more information than is so required and cooperate fully with all efforts by the Company to obtain a protective order or similar confidentiality treatment for such information), (C) such information or records becomes generally known to the public without his violation of this Agreement, or (D) disclosed to Executive’s spouse, attorney and/or his personal tax and financial advisors to the extent reasonably necessary to advance Executive’s tax, financial and other personal planning (each an “</w:t>
      </w:r>
      <w:r>
        <w:rPr>
          <w:rFonts w:ascii="Times New Roman;sans-serif" w:hAnsi="Times New Roman;sans-serif"/>
          <w:b w:val="false"/>
          <w:color w:val="000000"/>
          <w:sz w:val="21"/>
          <w:u w:val="single"/>
        </w:rPr>
        <w:t>Exempt Person</w:t>
      </w:r>
      <w:r>
        <w:rPr>
          <w:color w:val="000000"/>
        </w:rPr>
        <w:t>”</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any disclosure or use of any proprietary information or confidential records by an Exempt Person shall be deemed to be a breach of this Section 5.2 or Section 5.3 by Executive.</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color w:val="000000"/>
          <w:sz w:val="21"/>
        </w:rPr>
        <w:t>Executive agrees that all processes, technologies and inventions (collectively, “</w:t>
      </w:r>
      <w:r>
        <w:rPr>
          <w:rFonts w:ascii="Times New Roman;sans-serif" w:hAnsi="Times New Roman;sans-serif"/>
          <w:b w:val="false"/>
          <w:color w:val="000000"/>
          <w:sz w:val="21"/>
          <w:u w:val="single"/>
        </w:rPr>
        <w:t>Inventions</w:t>
      </w:r>
      <w:r>
        <w:rPr>
          <w:color w:val="000000"/>
        </w:rPr>
        <w:t>”</w:t>
      </w:r>
      <w:r>
        <w:rPr>
          <w:rFonts w:ascii="Times New Roman;sans-serif" w:hAnsi="Times New Roman;sans-serif"/>
          <w:b w:val="false"/>
          <w:color w:val="000000"/>
          <w:sz w:val="21"/>
        </w:rPr>
        <w:t xml:space="preserve">), including new contributions, improvements, ideas and discoveries, whether patentable or not, conceived, developed, invented or made by Executive during the Term (and during any employment by, or affiliation with, the Company prior to the Term) shall belong to the Company, provided that such Inventions grew out of Executive’s work with the Company or any of its subsidiaries or affiliates, are related in any manner to the business (commercial or experimental) of the Company or any of its subsidiaries or affiliates or are conceived or made on the Company’s time or with the use of the Company’s facilities or materials. Executive shall further: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(c)</w:t>
      </w:r>
      <w:r>
        <w:rPr>
          <w:rFonts w:ascii="Times New Roman;sans-serif" w:hAnsi="Times New Roman;sans-serif"/>
          <w:b w:val="false"/>
          <w:color w:val="000000"/>
          <w:sz w:val="21"/>
        </w:rPr>
        <w:t xml:space="preserve">(i) promptly disclose such Inventions to the Company; (ii) assign to the Company, without additional compensation, all patent and other rights to such Inventions for the United States and foreign countries; (iii) sign all papers necessary to carry out the foregoing; and (iv) give testimony in support of Executive’s inventorship. If any Invention is described in a patent application or is disclosed to third parties, directly or indirectly, by Executive within two (2) years after the termination of Executive’s employment with the Company, it is to be presumed that the Invention was conceived or made during the Term. Executive agrees that Executive will not assert any rights to any Invention as having been made or acquired by Executive prior to the date of this Agreement, except for Inventions, if any, disclosed in </w:t>
      </w:r>
      <w:r>
        <w:rPr>
          <w:rFonts w:ascii="Times New Roman;sans-serif" w:hAnsi="Times New Roman;sans-serif"/>
          <w:b w:val="false"/>
          <w:color w:val="000000"/>
          <w:sz w:val="21"/>
          <w:u w:val="single"/>
        </w:rPr>
        <w:t>Exhibit A</w:t>
      </w:r>
      <w:r>
        <w:rPr>
          <w:color w:val="000000"/>
        </w:rPr>
        <w:t xml:space="preserve"> </w:t>
      </w:r>
      <w:r>
        <w:rPr>
          <w:rFonts w:ascii="Times New Roman;sans-serif" w:hAnsi="Times New Roman;sans-serif"/>
          <w:b w:val="false"/>
          <w:color w:val="000000"/>
          <w:sz w:val="21"/>
        </w:rPr>
        <w:t>to this Agreement.</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i/>
          <w:color w:val="000000"/>
          <w:sz w:val="21"/>
        </w:rPr>
        <w:t>5.3    Confidentiality and Surrender of Records.</w:t>
      </w:r>
      <w:r>
        <w:rPr>
          <w:color w:val="000000"/>
        </w:rPr>
        <w:t xml:space="preserve"> </w:t>
      </w:r>
      <w:r>
        <w:rPr>
          <w:rFonts w:ascii="Times New Roman;sans-serif" w:hAnsi="Times New Roman;sans-serif"/>
          <w:b w:val="false"/>
          <w:color w:val="000000"/>
          <w:sz w:val="21"/>
        </w:rPr>
        <w:t xml:space="preserve">Executive shall not, during the Term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8275"/>
                <wp:effectExtent l="0" t="0" r="0" b="0"/>
                <wp:wrapNone/>
                <wp:docPr id="73" name="Frame59"/>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10</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1"/>
        </w:rPr>
        <w:t>or at any time thereafter (irrespective of the circumstances under which Executive’s employment by the Company terminates), except to the extent required by law, directly or indirectly publish, make known or in any fashion disclose any confidential records to, or permit any inspection or copying of confidential records by, any person or entity other than in the course of such person’s or entity’s employment or retention by the Company, nor shall Executive retain, and will deliver promptly to the Company, any of the same following termination of Executive’s employment hereunder for any reason or upon request by the Company. For purposes hereof, “</w:t>
      </w:r>
      <w:r>
        <w:rPr>
          <w:rFonts w:ascii="Times New Roman;sans-serif" w:hAnsi="Times New Roman;sans-serif"/>
          <w:b w:val="false"/>
          <w:color w:val="000000"/>
          <w:sz w:val="21"/>
          <w:u w:val="single"/>
        </w:rPr>
        <w:t>confidential records</w:t>
      </w:r>
      <w:r>
        <w:rPr>
          <w:color w:val="000000"/>
        </w:rPr>
        <w:t xml:space="preserve">” </w:t>
      </w:r>
      <w:r>
        <w:rPr>
          <w:rFonts w:ascii="Times New Roman;sans-serif" w:hAnsi="Times New Roman;sans-serif"/>
          <w:b w:val="false"/>
          <w:color w:val="000000"/>
          <w:sz w:val="21"/>
        </w:rPr>
        <w:t>means those portions of correspondence, memoranda, files, manuals, books, lists, financial, operating or marketing records, magnetic tape, or electronic or other media or equipment of any kind in Executive’s possession or under Executive’s control or accessible to Executive which contain any proprietary information. All confidential records shall be and remain the sole property of the Company during the Term and thereafter.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Notwithstanding anything herein to the contrary, nothing in this Agreement shall (i) prohibit Executive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 Executive understands that activities protected by Sections 5.2 and 5.3 may include disclosure of trade secret or confidential information within the limitations permitted by the Defend Trade Secrets Act (“DTSA”). And, in this regard, Executive acknowledges notification that under the DTSA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 xml:space="preserve">5.4    Non-disparagement. </w:t>
      </w:r>
      <w:r>
        <w:rPr>
          <w:rFonts w:ascii="Times New Roman;sans-serif" w:hAnsi="Times New Roman;sans-serif"/>
          <w:b w:val="false"/>
          <w:color w:val="000000"/>
          <w:sz w:val="21"/>
        </w:rPr>
        <w:t>Executive shall not, during the Term and thereafter, disparage in any material respect the Company, any affiliate of the Company, any of their respective businesses, any of their respective officers, directors or employees, or the reputation of any of the foregoing persons or entities. Notwithstanding the foregoing, nothing in this Agreement shall preclude Executive or any other person from making truthful statements that are required by applicable law, regulation or legal process.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5.5    No Other Obligations</w:t>
      </w:r>
      <w:r>
        <w:rPr>
          <w:rFonts w:ascii="Times New Roman;sans-serif" w:hAnsi="Times New Roman;sans-serif"/>
          <w:b w:val="false"/>
          <w:color w:val="000000"/>
          <w:sz w:val="21"/>
        </w:rPr>
        <w:t>. Executive represents that Executive is not precluded or limited in Executive’s ability to undertake or perform the duties described herein by any contract, agreement or restrictive covenant. Executive covenants that Executive shall not employ the trade secrets or proprietary information of any other person in connection with Executive’s employment by the Company without such person’s authorization.</w:t>
      </w:r>
    </w:p>
    <w:p>
      <w:pPr>
        <w:pStyle w:val="TextBody"/>
        <w:bidi w:val="0"/>
        <w:spacing w:before="0" w:after="0"/>
        <w:ind w:left="0" w:right="0" w:firstLine="720"/>
        <w:jc w:val="both"/>
        <w:rPr/>
      </w:pPr>
      <w:r>
        <w:rPr/>
      </w:r>
    </w:p>
    <w:p>
      <w:pPr>
        <w:pStyle w:val="TextBody"/>
        <w:bidi w:val="0"/>
        <w:spacing w:lineRule="auto" w:line="288"/>
        <w:ind w:left="0" w:right="0" w:firstLine="1440"/>
        <w:jc w:val="both"/>
        <w:rPr/>
      </w:pPr>
      <w:r>
        <w:rPr>
          <w:rFonts w:ascii="Times New Roman;sans-serif" w:hAnsi="Times New Roman;sans-serif"/>
          <w:b w:val="false"/>
          <w:i/>
          <w:color w:val="000000"/>
          <w:sz w:val="21"/>
        </w:rPr>
        <w:t xml:space="preserve">5.6    Forfeiture of Outstanding Equity Awards; “Clawback” Policies. </w:t>
      </w:r>
      <w:r>
        <w:rPr>
          <w:rFonts w:ascii="Times New Roman;sans-serif" w:hAnsi="Times New Roman;sans-serif"/>
          <w:b w:val="false"/>
          <w:color w:val="000000"/>
          <w:sz w:val="21"/>
        </w:rPr>
        <w:t xml:space="preserve">The other provisions of this Agreement notwithstanding, if Executive willfully and materially fails to comply with Section 5.1, 5.2, 5.3, 5.4, or 5.8, all options to purchase common stock, restricted stock units and other equity-based awards granted by the Company or any of its affiliates (whether prior to, contemporaneous with, or subsequent to the date hereof) and held by Executive or a transferee of Executive shall be immediately forfeited and cancelled. Executive acknowledges and agrees that, notwithstanding anything contained in this Agreement or any other agreement, plan or program, any incentive-based compensation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8275"/>
                <wp:effectExtent l="0" t="0" r="0" b="0"/>
                <wp:wrapNone/>
                <wp:docPr id="74" name="Frame60"/>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or benefits contemplated under this Agreement (including Incentive Compensation and equity-based awards) shall be subject to recovery by the Company under any compensation recovery or “clawback” policy, generally applicable to senior executives of the Company, that the Company may adopt from time to time, including any policy which the Company may be required to adopt under Section 954 of the Dodd-Frank Wall Street Reform and Consumer Protection Act and the rules and regulations of the Securities and Exchange Commission thereunder or the requirements of any national securities exchange on which the Company’s common stock may be listed.</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5.7    Enforcement</w:t>
      </w:r>
      <w:r>
        <w:rPr>
          <w:rFonts w:ascii="Times New Roman;sans-serif" w:hAnsi="Times New Roman;sans-serif"/>
          <w:b w:val="false"/>
          <w:color w:val="000000"/>
          <w:sz w:val="21"/>
        </w:rPr>
        <w:t>. Executive acknowledges and agrees that, by virtue of Executive’s position, services and access to and use of confidential records and proprietary information, any violation by Executive of any of the undertakings contained in this Section 5 would cause the Company immediate, substantial and irreparable injury for which it has no adequate remedy at law. Accordingly, Executive agrees and consents to the entry of an injunction or other equitable relief by a court of competent jurisdiction restraining any violation or threatened violation of any undertaking contained in this Section 5. Executive waives posting of any bond otherwise necessary to secure such injunction or other equitable relief. Rights and remedies provided for in this Section 5 are cumulative and shall be in addition to rights and remedies otherwise available to the parties hereunder or under any other agreement or applicable law.</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 xml:space="preserve">5.8    Cooperation with Regard to Litigation. </w:t>
      </w:r>
      <w:r>
        <w:rPr>
          <w:rFonts w:ascii="Times New Roman;sans-serif" w:hAnsi="Times New Roman;sans-serif"/>
          <w:b w:val="false"/>
          <w:color w:val="000000"/>
          <w:sz w:val="21"/>
        </w:rPr>
        <w:t>Executive agrees to cooperate reasonably with the Company, during the Term and thereafter (including following Executive’s termination of employment for any reason), by providing information to the Company regarding matters related to his term of employment and by being available to testify on behalf of the Company in any action, suit, or proceeding, whether civil, criminal, administrative, or investigative. In addition, except to the extent that Executive has or intends to assert in good faith an interest or position adverse to or inconsistent with the interest or position of the Company, Executive agrees to cooperate reasonably with the Company, during the Term and thereafter (including following Executive’s termination of employment for any reason), to assist the Company in any such action, suit, or proceeding by providing information and meeting and consulting with the Board or its representatives or counsel, or representatives or counsel to the Company, in each case, as reasonably requested by the Company. The Company agrees to pay (or reimburse, if already paid by Executive) all reasonable travel and communication expenses actually incurred in connection with Executive’s cooperation and assistance.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5.9    Survival.</w:t>
      </w:r>
      <w:r>
        <w:rPr>
          <w:color w:val="000000"/>
        </w:rPr>
        <w:t xml:space="preserve"> </w:t>
      </w:r>
      <w:r>
        <w:rPr>
          <w:rFonts w:ascii="Times New Roman;sans-serif" w:hAnsi="Times New Roman;sans-serif"/>
          <w:b w:val="false"/>
          <w:color w:val="000000"/>
          <w:sz w:val="21"/>
        </w:rPr>
        <w:t>The provisions of this Section 5 shall survive the termination of the Term and any termination or expiration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i/>
          <w:color w:val="000000"/>
          <w:sz w:val="21"/>
        </w:rPr>
        <w:t>5.10    Company</w:t>
      </w:r>
      <w:r>
        <w:rPr>
          <w:rFonts w:ascii="Times New Roman;sans-serif" w:hAnsi="Times New Roman;sans-serif"/>
          <w:b w:val="false"/>
          <w:color w:val="000000"/>
          <w:sz w:val="21"/>
        </w:rPr>
        <w:t>. For purposes of this Section 5, references to the “</w:t>
      </w:r>
      <w:r>
        <w:rPr>
          <w:rFonts w:ascii="Times New Roman;sans-serif" w:hAnsi="Times New Roman;sans-serif"/>
          <w:b w:val="false"/>
          <w:color w:val="000000"/>
          <w:sz w:val="21"/>
          <w:u w:val="single"/>
        </w:rPr>
        <w:t>Company</w:t>
      </w:r>
      <w:r>
        <w:rPr>
          <w:color w:val="000000"/>
        </w:rPr>
        <w:t xml:space="preserve">” </w:t>
      </w:r>
      <w:r>
        <w:rPr>
          <w:rFonts w:ascii="Times New Roman;sans-serif" w:hAnsi="Times New Roman;sans-serif"/>
          <w:b w:val="false"/>
          <w:color w:val="000000"/>
          <w:sz w:val="21"/>
        </w:rPr>
        <w:t>shall include the Company and each subsidiary and/or affiliate of the Company (and each of their respective joint ventures and equity method investees).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6.</w:t>
      </w:r>
      <w:r>
        <w:rPr>
          <w:rFonts w:ascii="Times New Roman;sans-serif" w:hAnsi="Times New Roman;sans-serif"/>
          <w:b w:val="false"/>
          <w:color w:val="000000"/>
          <w:sz w:val="21"/>
          <w:u w:val="single"/>
        </w:rPr>
        <w:t>Code of Conduct</w:t>
      </w:r>
      <w:r>
        <w:rPr>
          <w:rFonts w:ascii="Times New Roman;sans-serif" w:hAnsi="Times New Roman;sans-serif"/>
          <w:b w:val="false"/>
          <w:color w:val="000000"/>
          <w:sz w:val="21"/>
        </w:rPr>
        <w:t>. Executive acknowledges that Executive has read the Company’s Code of Business Conduct and agrees to abide by such Code of Business Conduct, as amended or supplemented from time to time, and other policies applicable to employees and executives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7.</w:t>
      </w:r>
      <w:r>
        <w:rPr>
          <w:rFonts w:ascii="Times New Roman;sans-serif" w:hAnsi="Times New Roman;sans-serif"/>
          <w:b w:val="false"/>
          <w:color w:val="000000"/>
          <w:sz w:val="21"/>
          <w:u w:val="single"/>
        </w:rPr>
        <w:t>Indemnification</w:t>
      </w:r>
      <w:r>
        <w:rPr>
          <w:rFonts w:ascii="Times New Roman;sans-serif" w:hAnsi="Times New Roman;sans-serif"/>
          <w:b w:val="false"/>
          <w:color w:val="000000"/>
          <w:sz w:val="21"/>
        </w:rPr>
        <w:t>. The Company shall indemnify Executive to the full extent permitted under the Company’s Certificate of Incorporation or By-Laws and pursuant to any other agreements or policies in effect from time to time in connection with any action, suit or proceeding to which Executive may be made a party by reason of Executive being an officer, director or employee of the Company or of any subsidiary or affiliate of the Company.</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1"/>
        </w:rPr>
        <w:t>8.</w:t>
      </w:r>
      <w:r>
        <w:rPr>
          <w:rFonts w:ascii="Times New Roman;sans-serif" w:hAnsi="Times New Roman;sans-serif"/>
          <w:b w:val="false"/>
          <w:color w:val="000000"/>
          <w:sz w:val="21"/>
          <w:u w:val="single"/>
        </w:rPr>
        <w:t>Assignability; Binding Effect</w:t>
      </w:r>
      <w:r>
        <w:rPr>
          <w:rFonts w:ascii="Times New Roman;sans-serif" w:hAnsi="Times New Roman;sans-serif"/>
          <w:b w:val="false"/>
          <w:color w:val="000000"/>
          <w:sz w:val="21"/>
        </w:rPr>
        <w:t xml:space="preserve">. Neither this Agreement nor the rights or obligations hereunder of the parties shall be transferable or assignable by Executive, except in accordance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8275"/>
                <wp:effectExtent l="0" t="0" r="0" b="0"/>
                <wp:wrapNone/>
                <wp:docPr id="75" name="Frame61"/>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laws of descent and distribution and as specified below. The Company may assign this Agreement and the Company’s rights and obligations hereunder to any affiliate of the Company, provided that upon any such assignment the Company shall remain liable for the obligations to Executive hereunder. This Agreement shall be binding upon and inure to the benefit of Executive, Executive’s heirs, executors, administrators, and beneficiaries, and shall be binding upon and inure to the benefit of the Company and its successors and assigns.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9.</w:t>
      </w:r>
      <w:r>
        <w:rPr>
          <w:rFonts w:ascii="Times New Roman;sans-serif" w:hAnsi="Times New Roman;sans-serif"/>
          <w:b w:val="false"/>
          <w:color w:val="000000"/>
          <w:sz w:val="21"/>
          <w:u w:val="single"/>
        </w:rPr>
        <w:t>Complete Understanding; Amendment; Waiver</w:t>
      </w:r>
      <w:r>
        <w:rPr>
          <w:rFonts w:ascii="Times New Roman;sans-serif" w:hAnsi="Times New Roman;sans-serif"/>
          <w:b w:val="false"/>
          <w:color w:val="000000"/>
          <w:sz w:val="21"/>
        </w:rPr>
        <w:t xml:space="preserve">. This Agreement constitutes the complete understanding between the parties with respect to the employment of Executive from and after the Effective Date and supersedes all other prior agreements and understandings, both written and oral, between the parties with respect to the subject matter hereof, and including superseding any entitlements to benefits or payments pursuant to any severance plan, policy, practice or arrangement maintained by the Company or any affiliate thereof as of the date this Agreement is executed by both parties and no statement, representation, warranty or covenant has been made by either party with respect thereto except as expressly set forth herein; provided, however, nothing contained in this Agreement shall limit, impair or supersede any agreement between the Company and Executive relating to grants of stock options, restricted stock units or other equity-based awards granted to Executive prior to the Effective Date, which shall remain in full force and effect in accordance with the terms of such agreements and the plan pursuant to which such awards were granted. Except as contemplated by Section 3(f) 5.1(f) and 10, this Agreement shall not be modified, amended or terminated except by a written instrument signed by each of the parties. Any waiver of any term or provision hereof, or of the application of any such term or provision to any circumstances, shall be in writing signed by the party charged with giving such waiver. Waiver by either party of any breach hereunder by the other party shall not operate as a waiver of any other breach, whether similar to or different from the breach waived. No delay by either party in the exercise of any rights or remedies shall operate as a waiver thereof, and no single or partial exercise by either party of any such right or remedy shall preclude other or further exercise thereof.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10.</w:t>
      </w:r>
      <w:r>
        <w:rPr>
          <w:rFonts w:ascii="Times New Roman;sans-serif" w:hAnsi="Times New Roman;sans-serif"/>
          <w:b w:val="false"/>
          <w:color w:val="000000"/>
          <w:sz w:val="21"/>
          <w:u w:val="single"/>
        </w:rPr>
        <w:t>Severability</w:t>
      </w:r>
      <w:r>
        <w:rPr>
          <w:rFonts w:ascii="Times New Roman;sans-serif" w:hAnsi="Times New Roman;sans-serif"/>
          <w:b w:val="false"/>
          <w:color w:val="000000"/>
          <w:sz w:val="21"/>
        </w:rPr>
        <w:t>. If any provision of this Agreement or the application of any such provision to any person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any provision of this Agreement, or any part thereof, is held to be invalid or unenforceable because of the scope or duration of or the area covered by such provision, the parties agree that the court making such determination shall reduce the scope, duration and/or area of such provision (and shall substitute appropriate provisions for any such invalid or unenforceable provisions) in order to make such provision enforceable to the fullest extent permitted by law and/or shall delete specific words and phrases, and such modified provision shall then be enforceable and shall be enforced. The parties recognize that if, in any judicial proceeding, a court shall refuse to enforce any of the separate covenants contained in this Agreement, then that invalid or unenforceable covenant contained in this Agreement shall be deemed eliminated from these provisions to the extent necessary to permit the remaining separate covenants to be enforced. In the event that any court determines that the time period or the area, or both, are unreasonable and that any of the covenants is to that extent invalid or unenforceable, the parties agree that such covenants will remain in full force and effect, first, for the greatest time period, and second, in the greatest geographical area that would not render them unenforceable.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11.</w:t>
      </w:r>
      <w:r>
        <w:rPr>
          <w:rFonts w:ascii="Times New Roman;sans-serif" w:hAnsi="Times New Roman;sans-serif"/>
          <w:b w:val="false"/>
          <w:color w:val="000000"/>
          <w:sz w:val="21"/>
          <w:u w:val="single"/>
        </w:rPr>
        <w:t>Survivability</w:t>
      </w:r>
      <w:r>
        <w:rPr>
          <w:rFonts w:ascii="Times New Roman;sans-serif" w:hAnsi="Times New Roman;sans-serif"/>
          <w:b w:val="false"/>
          <w:color w:val="000000"/>
          <w:sz w:val="21"/>
        </w:rPr>
        <w:t>. The provisions of this Agreement which by their terms call for performance subsequent to termination of Executive’s employment hereunder, or of this Agreement, shall so survive such termination, whether or not such provisions expressly state that they shall so survive.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1"/>
        </w:rPr>
        <w:t>12.</w:t>
      </w:r>
      <w:r>
        <w:rPr>
          <w:rFonts w:ascii="Times New Roman;sans-serif" w:hAnsi="Times New Roman;sans-serif"/>
          <w:b w:val="false"/>
          <w:color w:val="000000"/>
          <w:sz w:val="21"/>
          <w:u w:val="single"/>
        </w:rPr>
        <w:t>Governing Law; Arbitration</w:t>
      </w:r>
      <w:r>
        <w:rPr>
          <w:rFonts w:ascii="Times New Roman;sans-serif" w:hAnsi="Times New Roman;sans-serif"/>
          <w:b w:val="false"/>
          <w:color w:val="000000"/>
          <w:sz w:val="21"/>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8275"/>
                <wp:effectExtent l="0" t="0" r="0" b="0"/>
                <wp:wrapNone/>
                <wp:docPr id="76" name="Frame62"/>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13</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i/>
          <w:color w:val="000000"/>
          <w:sz w:val="21"/>
        </w:rPr>
        <w:t>Governing Law</w:t>
      </w:r>
      <w:r>
        <w:rPr>
          <w:rFonts w:ascii="Times New Roman;sans-serif" w:hAnsi="Times New Roman;sans-serif"/>
          <w:b w:val="false"/>
          <w:color w:val="000000"/>
          <w:sz w:val="21"/>
        </w:rPr>
        <w:t>. This Agreement shall be governed by and construed in accordance with the laws of the State of Nevada applicable to agreements made and to be wholly performed within that State, without regard to its conflict of laws provisions.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i/>
          <w:color w:val="000000"/>
          <w:sz w:val="21"/>
        </w:rPr>
        <w:t>Arbitration</w:t>
      </w:r>
      <w:r>
        <w:rPr>
          <w:rFonts w:ascii="Times New Roman;sans-serif" w:hAnsi="Times New Roman;sans-serif"/>
          <w:b w:val="false"/>
          <w:color w:val="000000"/>
          <w:sz w:val="21"/>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(i)Executive and the Company agree that, except for claims for workers’ compensation, unemployment compensation, and any other claim that is non-arbitrable under applicable law, final and binding arbitration shall be the exclusive forum for any dispute or controversy between them, including, without limitation, disputes arising under or in connection with this Agreement, Executive’s employment, and/or termination of employment, with the Company;</w:t>
      </w:r>
      <w:r>
        <w:rPr>
          <w:color w:val="000000"/>
          <w:u w:val="single"/>
        </w:rPr>
        <w:t xml:space="preserve">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xml:space="preserve">, that the Company shall be entitled to commence an action in any court of competent jurisdiction for injunctive relief in connection with any alleged actual or threatened violation of any provision of Section 5. Judgment may be entered on the arbitrators’ award in any court having jurisdiction. For purposes of entering such judgment or seeking injunctive relief with regard to Section 5, the Company and Executive hereby consent to the jurisdiction of any state or federal court of competent jurisdiction located in Las Vegas, Nevada;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that damages for any alleged violation of Section 5, as well as any claim, counterclaim or cross-claim brought by Executive or any third-party in response to, or in connection with, any court action commenced by the Company seeking said injunctive relief shall remain exclusively subject to final and binding arbitration as provided for herein. The Company and Executive hereby waive, to the fullest extent permitted by applicable law, any objection which either may now or hereafter have to such jurisdiction, venue and any defense of inconvenient forum. Thus, except for the claims carved out above, this Agreement includes all common-law and statutory claims (whether arising under federal state or local law), including any claim for breach of contract, fraud, fraud in the inducement, unpaid wages, wrongful termination, and gender, age, national origin, sexual orientation, marital status, disability, or any other protected status.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1"/>
        </w:rPr>
        <w:t>(ii)Any arbitration under this Agreement shall be filed exclusively with, and administered by, the American Arbitration Association in Las Vegas, Nevada before three arbitrators, in accordance with the National Rules for the Resolution of Employment Disputes of the American Arbitration Association in effect at the time of submission to arbitration. The Company and Executive hereby agree that a judgment upon an award rendered by the arbitrators may be enforced in other jurisdictions by suit on the judgment or in any other manner provided by law. The Company shall pay all costs uniquely attributable to arbitration, including the administrative fees and costs of the arbitrators. Each party shall pay that party’s own costs and attorney fees, if any, unless the arbitrators rule otherwise. Executive understands that Executive is giving up no substantive rights, and this Agreement simply governs forum. The arbitrators shall apply the same standards a court would apply to award any damages, attorney fees or costs. Executive shall not be required to pay any fee or cost that Executive would not otherwise be required to pay in a court action, unless so ordered by the arbitrators.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Times New Roman;sans-serif" w:hAnsi="Times New Roman;sans-serif"/>
          <w:b/>
          <w:color w:val="000000"/>
          <w:sz w:val="21"/>
        </w:rPr>
        <w:t>EXECUTIVE INITIALS:</w:t>
      </w:r>
      <w:r>
        <w:rPr>
          <w:color w:val="000000"/>
          <w:u w:val="single"/>
        </w:rPr>
        <w:t xml:space="preserve"> </w:t>
      </w:r>
      <w:r>
        <w:rPr>
          <w:rFonts w:ascii="Times New Roman;sans-serif" w:hAnsi="Times New Roman;sans-serif"/>
          <w:b/>
          <w:color w:val="000000"/>
          <w:sz w:val="21"/>
          <w:u w:val="single"/>
        </w:rPr>
        <w:t xml:space="preserve">/s/ VK </w:t>
      </w:r>
      <w:r>
        <w:rPr>
          <w:color w:val="000000"/>
        </w:rPr>
        <w:t>            </w:t>
      </w:r>
      <w:r>
        <w:rPr>
          <w:rFonts w:ascii="Times New Roman;sans-serif" w:hAnsi="Times New Roman;sans-serif"/>
          <w:b/>
          <w:color w:val="000000"/>
          <w:sz w:val="21"/>
        </w:rPr>
        <w:t>COMPANY INITIALS:</w:t>
      </w:r>
      <w:r>
        <w:rPr>
          <w:color w:val="000000"/>
          <w:u w:val="single"/>
        </w:rPr>
        <w:t xml:space="preserve"> </w:t>
      </w:r>
      <w:r>
        <w:rPr>
          <w:rFonts w:ascii="Times New Roman;sans-serif" w:hAnsi="Times New Roman;sans-serif"/>
          <w:b/>
          <w:color w:val="000000"/>
          <w:sz w:val="21"/>
          <w:u w:val="single"/>
        </w:rPr>
        <w:t xml:space="preserve">/s/ RL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color w:val="000000"/>
          <w:sz w:val="21"/>
        </w:rPr>
        <w:t>(c)</w:t>
      </w:r>
      <w:r>
        <w:rPr>
          <w:rFonts w:ascii="Times New Roman;sans-serif" w:hAnsi="Times New Roman;sans-serif"/>
          <w:b/>
          <w:i/>
          <w:color w:val="000000"/>
          <w:sz w:val="21"/>
        </w:rPr>
        <w:t>WAIVER OF JURY TRIAL</w:t>
      </w:r>
      <w:r>
        <w:rPr>
          <w:rFonts w:ascii="Times New Roman;sans-serif" w:hAnsi="Times New Roman;sans-serif"/>
          <w:b/>
          <w:color w:val="000000"/>
          <w:sz w:val="21"/>
        </w:rPr>
        <w:t>. BY SIGNING THIS AGREEMENT, EXECUTIVE AND THE COMPANY ACKNOWLEDGE THAT THE RIGHT TO A COURT TRIAL AND TRIAL BY JURY IS OF VALUE, AND KNOWINGLY AND VOLUNTARILY WAIVE THAT RIGHT FOR ANY DISPUTE SUBJECT TO THE TERMS OF THIS ARBITRATION PROVISION.</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8275"/>
                <wp:effectExtent l="0" t="0" r="0" b="0"/>
                <wp:wrapNone/>
                <wp:docPr id="77" name="Frame63"/>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14</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13.</w:t>
      </w:r>
      <w:r>
        <w:rPr>
          <w:rFonts w:ascii="Times New Roman;sans-serif" w:hAnsi="Times New Roman;sans-serif"/>
          <w:b w:val="false"/>
          <w:color w:val="000000"/>
          <w:sz w:val="21"/>
          <w:u w:val="single"/>
        </w:rPr>
        <w:t>Titles and Captions</w:t>
      </w:r>
      <w:r>
        <w:rPr>
          <w:rFonts w:ascii="Times New Roman;sans-serif" w:hAnsi="Times New Roman;sans-serif"/>
          <w:b w:val="false"/>
          <w:color w:val="000000"/>
          <w:sz w:val="21"/>
        </w:rPr>
        <w:t>. All paragraph titles or captions in this Agreement are for convenience only and in no way define, limit, extend or describe the scope or intent of any provision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14.</w:t>
      </w:r>
      <w:r>
        <w:rPr>
          <w:rFonts w:ascii="Times New Roman;sans-serif" w:hAnsi="Times New Roman;sans-serif"/>
          <w:b w:val="false"/>
          <w:color w:val="000000"/>
          <w:sz w:val="21"/>
          <w:u w:val="single"/>
        </w:rPr>
        <w:t>Joint Drafting</w:t>
      </w:r>
      <w:r>
        <w:rPr>
          <w:rFonts w:ascii="Times New Roman;sans-serif" w:hAnsi="Times New Roman;sans-serif"/>
          <w:b w:val="false"/>
          <w:color w:val="000000"/>
          <w:sz w:val="21"/>
        </w:rPr>
        <w:t>. In recognition of the fact that the parties had an equal opportunity to negotiate the language of, and draft, this Agreement, the parties acknowledge and agree that there is no single drafter of this Agreement and, therefore, the general rule that ambiguities are to be construed against the drafter is, and shall be, inapplicable. If any language in this Agreement is found or claimed to be ambiguous, each party shall have the same opportunity to present evidence as to the actual intent of the parties with respect to any such ambiguous language without any inference or presumption being drawn against any party 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15.</w:t>
      </w:r>
      <w:r>
        <w:rPr>
          <w:rFonts w:ascii="Times New Roman;sans-serif" w:hAnsi="Times New Roman;sans-serif"/>
          <w:b w:val="false"/>
          <w:color w:val="000000"/>
          <w:sz w:val="21"/>
          <w:u w:val="single"/>
        </w:rPr>
        <w:t>Notices</w:t>
      </w:r>
      <w:r>
        <w:rPr>
          <w:rFonts w:ascii="Times New Roman;sans-serif" w:hAnsi="Times New Roman;sans-serif"/>
          <w:b w:val="false"/>
          <w:color w:val="000000"/>
          <w:sz w:val="21"/>
        </w:rPr>
        <w:t>. All notices and other communications to be given or to otherwise be made to any party to this Agreement shall be deemed to be sufficient if contained in a written instrument delivered in person or duly sent by certified mail or by a recognized national courier service, postage or charges prepaid, (a) to Light &amp; Wonder, Inc., Attn: Legal Department, 6601 Bermuda Rd., Las Vegas, NV 89119, (b) to Executive, at the last address shown in the Company’s records, or (c) to such other replacement address as may be designated in writing by the addressee to the addressor.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16.</w:t>
      </w:r>
      <w:r>
        <w:rPr>
          <w:rFonts w:ascii="Times New Roman;sans-serif" w:hAnsi="Times New Roman;sans-serif"/>
          <w:b w:val="false"/>
          <w:color w:val="000000"/>
          <w:sz w:val="21"/>
          <w:u w:val="single"/>
        </w:rPr>
        <w:t>Licensing Requirements</w:t>
      </w:r>
      <w:r>
        <w:rPr>
          <w:rFonts w:ascii="Times New Roman;sans-serif" w:hAnsi="Times New Roman;sans-serif"/>
          <w:b w:val="false"/>
          <w:color w:val="000000"/>
          <w:sz w:val="21"/>
        </w:rPr>
        <w:t>. The Company is subject to the laws, rules and regulations of various governmental bodies that regulate gaming companies. Executive may be required to submit to background, suitability and licensing investigations conducted by multiple gaming regulators. Executive agrees to fully cooperate with both the Company and gaming regulators by furnishing all requested information, including personal information regarding Executive and Executive’s family members, and documentation during the regulatory process. Executive agrees to fully cooperate with and conform to all regulatory requests for information in the required timeframe. Compliance with this requirement is a material provision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1"/>
        </w:rPr>
        <w:t>17.</w:t>
      </w:r>
      <w:r>
        <w:rPr>
          <w:rFonts w:ascii="Times New Roman;sans-serif" w:hAnsi="Times New Roman;sans-serif"/>
          <w:b w:val="false"/>
          <w:color w:val="000000"/>
          <w:sz w:val="21"/>
          <w:u w:val="single"/>
        </w:rPr>
        <w:t>Interpretation</w:t>
      </w:r>
      <w:r>
        <w:rPr>
          <w:rFonts w:ascii="Times New Roman;sans-serif" w:hAnsi="Times New Roman;sans-serif"/>
          <w:b w:val="false"/>
          <w:color w:val="000000"/>
          <w:sz w:val="21"/>
        </w:rPr>
        <w:t>. 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unless the context otherwise indicates. When a reference in this Agreement is made to a “party” or “parties,” such reference shall be to a party or parties to this Agreement unless otherwise indicated or the context requires otherwise. Unless the context requires otherwise, the terms “hereof,” “herein,” “hereby,” “hereto”, “hereunder” and derivative or similar words in this Agreement refer to this entire Agreement. Unless the context requires otherwise, words in this Agreement using the singular or plural number also include the plural or singular number, respectively, and the use of any gender herein shall be deemed to include the other genders. References in this Agreement to “dollars” or “$” are to U.S. dollars. When a reference is made in this Agreement to a law, statute or legislation, such reference shall be to such law, statute or legislation as it may be amended, modified, extended or re-enacted from time to time (including any successor law, statute or legislation) and shall include any regulations promulgated thereunder from time to time. The headings used herein are for reference only and shall not affect the construction of this Agreement.</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remainder of page intentionally left blank</w:t>
      </w:r>
      <w:r>
        <w:rPr>
          <w:rFonts w:ascii="Times New Roman;sans-serif" w:hAnsi="Times New Roman;sans-serif"/>
          <w:b w:val="false"/>
          <w:color w:val="000000"/>
          <w:sz w:val="21"/>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8275"/>
                <wp:effectExtent l="0" t="0" r="0" b="0"/>
                <wp:wrapNone/>
                <wp:docPr id="78" name="Frame64"/>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15</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IN WITNESS WHEREOF, each of the parties has duly executed this Agreement as of the date above written.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LIGHT &amp; WONDER,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1"/>
        </w:rPr>
        <w:t xml:space="preserve">By: </w:t>
      </w:r>
      <w:r>
        <w:rPr>
          <w:rFonts w:ascii="Times New Roman;sans-serif" w:hAnsi="Times New Roman;sans-serif"/>
          <w:b w:val="false"/>
          <w:color w:val="000000"/>
          <w:sz w:val="21"/>
          <w:u w:val="single"/>
        </w:rPr>
        <w:t>/s/ Roxane Lukas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EXECUTIVE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/s/ Vanja Kalabic            </w: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Vanja Kalabic</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8275"/>
                <wp:effectExtent l="0" t="0" r="0" b="0"/>
                <wp:wrapNone/>
                <wp:docPr id="79" name="Frame65"/>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16</w:t>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1"/>
          <w:u w:val="single"/>
        </w:rPr>
      </w:pPr>
      <w:r>
        <w:rPr>
          <w:rFonts w:ascii="Times New Roman;sans-serif" w:hAnsi="Times New Roman;sans-serif"/>
          <w:b/>
          <w:color w:val="000000"/>
          <w:sz w:val="21"/>
          <w:u w:val="single"/>
        </w:rPr>
        <w:t>Exhibit 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Inventions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8275"/>
                <wp:effectExtent l="0" t="0" r="0" b="0"/>
                <wp:wrapNone/>
                <wp:docPr id="80" name="Frame66"/>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17</w:t>
                      </w:r>
                    </w:p>
                  </w:txbxContent>
                </v:textbox>
                <w10:wrap type="none"/>
              </v:rect>
            </w:pict>
          </mc:Fallback>
        </mc:AlternateContent>
      </w:r>
    </w:p>
    <w:p>
      <w:pPr>
        <w:pStyle w:val="TextBody"/>
        <w:bidi w:val="0"/>
        <w:spacing w:before="0" w:after="160"/>
        <w:jc w:val="center"/>
        <w:rPr/>
      </w:pPr>
      <w:r>
        <w:rPr/>
      </w:r>
    </w:p>
    <w:p>
      <w:pPr>
        <w:pStyle w:val="TextBody"/>
        <w:bidi w:val="0"/>
        <w:spacing w:lineRule="auto" w:line="345"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 Pursuant to Section 302 of the Sarbanes-Oxley Act of 2002</w:t>
      </w:r>
    </w:p>
    <w:p>
      <w:pPr>
        <w:pStyle w:val="TextBody"/>
        <w:bidi w:val="0"/>
        <w:spacing w:lineRule="auto" w:line="288"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Matthew R. Wilson, certify that: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p>
      <w:pPr>
        <w:pStyle w:val="TextBody"/>
        <w:bidi w:val="0"/>
        <w:spacing w:lineRule="auto" w:line="345"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ind w:left="0" w:right="0" w:firstLine="450"/>
        <w:jc w:val="center"/>
        <w:rPr/>
      </w:pPr>
      <w:r>
        <w:rPr/>
      </w:r>
    </w:p>
    <w:p>
      <w:pPr>
        <w:pStyle w:val="TextBody"/>
        <w:bidi w:val="0"/>
        <w:spacing w:lineRule="auto" w:line="345"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Certification by Interim Chief Financial Officer (Principal Financial Officer) Pursuant to Section 302 of the Sarbanes-Oxley Act of 2002</w:t>
      </w:r>
    </w:p>
    <w:p>
      <w:pPr>
        <w:pStyle w:val="TextBody"/>
        <w:bidi w:val="0"/>
        <w:spacing w:lineRule="auto" w:line="345"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Oliver Chow, certify that: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p>
      <w:pPr>
        <w:pStyle w:val="TextBody"/>
        <w:bidi w:val="0"/>
        <w:spacing w:lineRule="auto" w:line="345"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4965" w:type="dxa"/>
        <w:jc w:val="left"/>
        <w:tblInd w:w="0" w:type="dxa"/>
        <w:tblLayout w:type="fixed"/>
        <w:tblCellMar>
          <w:top w:w="28" w:type="dxa"/>
          <w:left w:w="28" w:type="dxa"/>
          <w:bottom w:w="28" w:type="dxa"/>
          <w:right w:w="28" w:type="dxa"/>
        </w:tblCellMar>
      </w:tblPr>
      <w:tblGrid>
        <w:gridCol w:w="1584"/>
        <w:gridCol w:w="1390"/>
        <w:gridCol w:w="1991"/>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Oliver Chow</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Chow</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In connection with the Quarterly Report of Light &amp; Wonder, Inc. (the “Company”) on Form 10-Q for the period ended September 30, 2023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In connection with the Quarterly Report of Light &amp; Wonder, Inc. (the “Company”) on Form 10-Q for the period ended September 30, 2023 as filed with the Securities and Exchange Commission on the date hereof (the “Report”), I, Oliver Chow, Interim Chief Financial Officer (Principal Financial Officer) of the Company, certify, pursuant to 18 U.S.C. § 1350, as adopted pursuant to Section 906 of the Sarbanes-Oxley Act of 2002, that, to my knowledge:</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5291" w:type="dxa"/>
        <w:jc w:val="left"/>
        <w:tblInd w:w="0" w:type="dxa"/>
        <w:tblLayout w:type="fixed"/>
        <w:tblCellMar>
          <w:top w:w="28" w:type="dxa"/>
          <w:left w:w="28" w:type="dxa"/>
          <w:bottom w:w="28" w:type="dxa"/>
          <w:right w:w="28" w:type="dxa"/>
        </w:tblCellMar>
      </w:tblPr>
      <w:tblGrid>
        <w:gridCol w:w="124"/>
        <w:gridCol w:w="109"/>
        <w:gridCol w:w="109"/>
        <w:gridCol w:w="1442"/>
        <w:gridCol w:w="1442"/>
        <w:gridCol w:w="2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hyperlink" Target="https://www.sec.gov/Archives/edgar/data/750004/000110465923088839/tm2323127d1_ex2-1.htm" TargetMode="External"/><Relationship Id="rId17" Type="http://schemas.openxmlformats.org/officeDocument/2006/relationships/hyperlink" Target="https://www.sec.gov/Archives/edgar/data/750004/000075000422000025/ex31arestatedarticlesofinc.htm" TargetMode="External"/><Relationship Id="rId18" Type="http://schemas.openxmlformats.org/officeDocument/2006/relationships/hyperlink" Target="https://www.sec.gov/Archives/edgar/data/750004/000075000423000031/ex32-thirdamendedandrestat.htm" TargetMode="External"/><Relationship Id="rId19" Type="http://schemas.openxmlformats.org/officeDocument/2006/relationships/hyperlink" Target="https://www.sec.gov/Archives/edgar/data/750004/000110465923094510/tm2324367d1_ex4-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35062</Words>
  <Characters>189990</Characters>
  <CharactersWithSpaces>223080</CharactersWithSpaces>
  <Paragraphs>3765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