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40" w:after="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40" w:after="4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40"/>
        <w:jc w:val="left"/>
        <w:rPr/>
      </w:pPr>
      <w:r>
        <w:rPr>
          <w:color w:val="000000"/>
        </w:rPr>
        <w:t xml:space="preserve">☒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40"/>
        <w:jc w:val="left"/>
        <w:rPr/>
      </w:pPr>
      <w:r>
        <w:rPr>
          <w:color w:val="000000"/>
        </w:rPr>
        <w:t xml:space="preserve">☐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60"/>
        <w:jc w:val="center"/>
        <w:rPr/>
      </w:pPr>
      <w:r>
        <w:rPr>
          <w:rFonts w:ascii="Times New Roman;serif" w:hAnsi="Times New Roman;serif"/>
          <w:b/>
          <w:color w:val="000000"/>
          <w:sz w:val="20"/>
        </w:rPr>
        <w:t>Commission file number: 001-11693</w:t>
      </w:r>
      <w:r>
        <w:rPr>
          <w:color w:val="000000"/>
        </w:rPr>
        <w:t> </w:t>
      </w:r>
    </w:p>
    <w:p>
      <w:pPr>
        <w:pStyle w:val="TextBody"/>
        <w:bidi w:val="0"/>
        <w:spacing w:before="0" w:after="60"/>
        <w:jc w:val="center"/>
        <w:rPr/>
      </w:pPr>
      <w:r>
        <w:rPr/>
        <w:drawing>
          <wp:inline distT="0" distB="0" distL="0" distR="0">
            <wp:extent cx="14287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581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LIGHT &amp; WONDER,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8321" w:type="dxa"/>
        <w:jc w:val="center"/>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81-0422894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6601 Bermuda Road, Las Vegas, 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89119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(702) 897-7150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12(g) of the Act: </w:t>
      </w:r>
    </w:p>
    <w:tbl>
      <w:tblPr>
        <w:tblW w:w="3779" w:type="dxa"/>
        <w:jc w:val="center"/>
        <w:tblInd w:w="0" w:type="dxa"/>
        <w:tblLayout w:type="fixed"/>
        <w:tblCellMar>
          <w:top w:w="28" w:type="dxa"/>
          <w:left w:w="28" w:type="dxa"/>
          <w:bottom w:w="28" w:type="dxa"/>
          <w:right w:w="28" w:type="dxa"/>
        </w:tblCellMar>
      </w:tblPr>
      <w:tblGrid>
        <w:gridCol w:w="1209"/>
        <w:gridCol w:w="1060"/>
        <w:gridCol w:w="1510"/>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r>
      <w:tr>
        <w:trPr/>
        <w:tc>
          <w:tcPr>
            <w:tcW w:w="37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r>
    </w:tbl>
    <w:p>
      <w:pPr>
        <w:pStyle w:val="TextBody"/>
        <w:bidi w:val="0"/>
        <w:spacing w:before="0" w:after="0"/>
        <w:ind w:left="0" w:right="0" w:firstLine="540"/>
        <w:jc w:val="left"/>
        <w:rPr/>
      </w:pPr>
      <w:r>
        <w:rPr/>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35"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registrant’s common stock is publicly traded on the Australian Securities Exchange in the form of CHESS Depositary Interests, or CDIs, convertible at the option of the holders into shares of the registrant’s common stock on a one-for-one basis. The total number of shares of the registrant’s common stock outstanding as of May 1, 2026, including shares of common stock underlying the issued and outstanding CDIs, was 78,661,761.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LIGHT &amp; WONDER,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INDEX TO FINANCIAL AND OTHER INFORMATION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 2026</w:t>
      </w:r>
    </w:p>
    <w:tbl>
      <w:tblPr>
        <w:tblW w:w="10205" w:type="dxa"/>
        <w:jc w:val="center"/>
        <w:tblInd w:w="0" w:type="dxa"/>
        <w:tblLayout w:type="fixed"/>
        <w:tblCellMar>
          <w:top w:w="28" w:type="dxa"/>
          <w:left w:w="28" w:type="dxa"/>
          <w:bottom w:w="28" w:type="dxa"/>
          <w:right w:w="28" w:type="dxa"/>
        </w:tblCellMar>
      </w:tblPr>
      <w:tblGrid>
        <w:gridCol w:w="341"/>
        <w:gridCol w:w="299"/>
        <w:gridCol w:w="302"/>
        <w:gridCol w:w="2906"/>
        <w:gridCol w:w="2906"/>
        <w:gridCol w:w="2909"/>
        <w:gridCol w:w="158"/>
        <w:gridCol w:w="158"/>
        <w:gridCol w:w="226"/>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9">
              <w:r>
                <w:rPr>
                  <w:rStyle w:val="InternetLink"/>
                  <w:rFonts w:ascii="Times New Roman;serif" w:hAnsi="Times New Roman;serif"/>
                  <w:b/>
                  <w:color w:val="0000FF"/>
                  <w:sz w:val="20"/>
                  <w:u w:val="single"/>
                </w:rPr>
                <w:t>PART I.</w:t>
              </w:r>
            </w:hyperlink>
            <w:r>
              <w:rPr>
                <w:color w:val="000000"/>
              </w:rPr>
              <w:t xml:space="preserve"> </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9">
              <w:r>
                <w:rPr>
                  <w:rStyle w:val="InternetLink"/>
                  <w:rFonts w:ascii="Times New Roman;serif" w:hAnsi="Times New Roman;serif"/>
                  <w:b/>
                  <w:color w:val="0000FF"/>
                  <w:sz w:val="20"/>
                  <w:u w:val="single"/>
                </w:rPr>
                <w:t>FINANCIAL INFORMATION</w:t>
              </w:r>
            </w:hyperlink>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22">
              <w:r>
                <w:rPr>
                  <w:rStyle w:val="InternetLink"/>
                  <w:rFonts w:ascii="Times New Roman;serif" w:hAnsi="Times New Roman;serif"/>
                  <w:b w:val="false"/>
                  <w:color w:val="0000FF"/>
                  <w:sz w:val="20"/>
                  <w:u w:val="single"/>
                </w:rPr>
                <w:t>Condensed Consolidated 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22">
              <w:r>
                <w:rPr>
                  <w:rStyle w:val="InternetLink"/>
                  <w:rFonts w:ascii="Times New Roman;serif" w:hAnsi="Times New Roman;serif"/>
                  <w:b w:val="false"/>
                  <w:color w:val="0000FF"/>
                  <w:sz w:val="20"/>
                  <w:u w:val="single"/>
                </w:rPr>
                <w:t>9</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283">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34)</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283">
              <w:r>
                <w:rPr>
                  <w:rStyle w:val="InternetLink"/>
                  <w:rFonts w:ascii="Times New Roman;serif" w:hAnsi="Times New Roman;serif"/>
                  <w:b w:val="false"/>
                  <w:color w:val="0000FF"/>
                  <w:sz w:val="20"/>
                  <w:u w:val="single"/>
                </w:rPr>
                <w:t>9</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25">
              <w:r>
                <w:rPr>
                  <w:rStyle w:val="InternetLink"/>
                  <w:rFonts w:ascii="Times New Roman;serif" w:hAnsi="Times New Roman;serif"/>
                  <w:b w:val="false"/>
                  <w:color w:val="0000FF"/>
                  <w:sz w:val="20"/>
                  <w:u w:val="single"/>
                </w:rPr>
                <w:t>Consolidated Statements of Operations for the Three Months Ended March 31,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25">
              <w:r>
                <w:rPr>
                  <w:rStyle w:val="InternetLink"/>
                  <w:rFonts w:ascii="Times New Roman;serif" w:hAnsi="Times New Roman;serif"/>
                  <w:b w:val="false"/>
                  <w:color w:val="0000FF"/>
                  <w:sz w:val="20"/>
                  <w:u w:val="single"/>
                </w:rPr>
                <w:t>10</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28">
              <w:r>
                <w:rPr>
                  <w:rStyle w:val="InternetLink"/>
                  <w:rFonts w:ascii="Times New Roman;serif" w:hAnsi="Times New Roman;serif"/>
                  <w:b w:val="false"/>
                  <w:color w:val="0000FF"/>
                  <w:sz w:val="20"/>
                  <w:u w:val="single"/>
                </w:rPr>
                <w:t>Consolidated Statements of Comprehensive Income for the Three Months Ended March 31,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28">
              <w:r>
                <w:rPr>
                  <w:rStyle w:val="InternetLink"/>
                  <w:rFonts w:ascii="Times New Roman;serif" w:hAnsi="Times New Roman;serif"/>
                  <w:b w:val="false"/>
                  <w:color w:val="0000FF"/>
                  <w:sz w:val="20"/>
                  <w:u w:val="single"/>
                </w:rPr>
                <w:t>11</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31">
              <w:r>
                <w:rPr>
                  <w:rStyle w:val="InternetLink"/>
                  <w:rFonts w:ascii="Times New Roman;serif" w:hAnsi="Times New Roman;serif"/>
                  <w:b w:val="false"/>
                  <w:color w:val="0000FF"/>
                  <w:sz w:val="20"/>
                  <w:u w:val="single"/>
                </w:rPr>
                <w:t>Consolidated Balance Sheets as of March 31, 2026 and December 31,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31">
              <w:r>
                <w:rPr>
                  <w:rStyle w:val="InternetLink"/>
                  <w:rFonts w:ascii="Times New Roman;serif" w:hAnsi="Times New Roman;serif"/>
                  <w:b w:val="false"/>
                  <w:color w:val="0000FF"/>
                  <w:sz w:val="20"/>
                  <w:u w:val="single"/>
                </w:rPr>
                <w:t>12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34">
              <w:r>
                <w:rPr>
                  <w:rStyle w:val="InternetLink"/>
                  <w:rFonts w:ascii="Times New Roman;serif" w:hAnsi="Times New Roman;serif"/>
                  <w:b w:val="false"/>
                  <w:color w:val="0000FF"/>
                  <w:sz w:val="20"/>
                  <w:u w:val="single"/>
                </w:rPr>
                <w:t>Condensed Consolidated Statements of Cash Flows for the Three Months Ended March 31,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34">
              <w:r>
                <w:rPr>
                  <w:rStyle w:val="InternetLink"/>
                  <w:rFonts w:ascii="Times New Roman;serif" w:hAnsi="Times New Roman;serif"/>
                  <w:b w:val="false"/>
                  <w:color w:val="0000FF"/>
                  <w:sz w:val="20"/>
                  <w:u w:val="single"/>
                </w:rPr>
                <w:t>13</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37">
              <w:r>
                <w:rPr>
                  <w:rStyle w:val="InternetLink"/>
                  <w:rFonts w:ascii="Times New Roman;serif" w:hAnsi="Times New Roman;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37">
              <w:r>
                <w:rPr>
                  <w:rStyle w:val="InternetLink"/>
                  <w:rFonts w:ascii="Times New Roman;serif" w:hAnsi="Times New Roman;serif"/>
                  <w:b w:val="false"/>
                  <w:color w:val="0000FF"/>
                  <w:sz w:val="20"/>
                  <w:u w:val="single"/>
                </w:rPr>
                <w:t>14</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91">
              <w:r>
                <w:rPr>
                  <w:rStyle w:val="InternetLink"/>
                  <w:rFonts w:ascii="Times New Roman;serif" w:hAnsi="Times New Roman;serif"/>
                  <w:b w:val="false"/>
                  <w:color w:val="0000FF"/>
                  <w:sz w:val="20"/>
                  <w:u w:val="single"/>
                </w:rPr>
                <w:t>31</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27">
              <w:r>
                <w:rPr>
                  <w:rStyle w:val="InternetLink"/>
                  <w:rFonts w:ascii="Times New Roman;serif" w:hAnsi="Times New Roman;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27">
              <w:r>
                <w:rPr>
                  <w:rStyle w:val="InternetLink"/>
                  <w:rFonts w:ascii="Times New Roman;serif" w:hAnsi="Times New Roman;serif"/>
                  <w:b w:val="false"/>
                  <w:color w:val="0000FF"/>
                  <w:sz w:val="20"/>
                  <w:u w:val="single"/>
                </w:rPr>
                <w:t>41</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30">
              <w:r>
                <w:rPr>
                  <w:rStyle w:val="InternetLink"/>
                  <w:rFonts w:ascii="Times New Roman;serif" w:hAnsi="Times New Roman;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30">
              <w:r>
                <w:rPr>
                  <w:rStyle w:val="InternetLink"/>
                  <w:rFonts w:ascii="Times New Roman;serif" w:hAnsi="Times New Roman;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33">
              <w:r>
                <w:rPr>
                  <w:rStyle w:val="InternetLink"/>
                  <w:rFonts w:ascii="Times New Roman;serif" w:hAnsi="Times New Roman;serif"/>
                  <w:b/>
                  <w:color w:val="0000FF"/>
                  <w:sz w:val="20"/>
                  <w:u w:val="single"/>
                </w:rPr>
                <w:t>PART II.</w:t>
              </w:r>
            </w:hyperlink>
            <w:r>
              <w:rPr>
                <w:color w:val="000000"/>
              </w:rPr>
              <w:t xml:space="preserve"> </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33">
              <w:r>
                <w:rPr>
                  <w:rStyle w:val="InternetLink"/>
                  <w:rFonts w:ascii="Times New Roman;serif" w:hAnsi="Times New Roman;serif"/>
                  <w:b/>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33">
              <w:r>
                <w:rPr>
                  <w:rStyle w:val="InternetLink"/>
                  <w:rFonts w:ascii="Times New Roman;serif" w:hAnsi="Times New Roman;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36">
              <w:r>
                <w:rPr>
                  <w:rStyle w:val="InternetLink"/>
                  <w:rFonts w:ascii="Times New Roman;serif" w:hAnsi="Times New Roman;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36">
              <w:r>
                <w:rPr>
                  <w:rStyle w:val="InternetLink"/>
                  <w:rFonts w:ascii="Times New Roman;serif" w:hAnsi="Times New Roman;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39">
              <w:r>
                <w:rPr>
                  <w:rStyle w:val="InternetLink"/>
                  <w:rFonts w:ascii="Times New Roman;serif" w:hAnsi="Times New Roman;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39">
              <w:r>
                <w:rPr>
                  <w:rStyle w:val="InternetLink"/>
                  <w:rFonts w:ascii="Times New Roman;serif" w:hAnsi="Times New Roman;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42">
              <w:r>
                <w:rPr>
                  <w:rStyle w:val="InternetLink"/>
                  <w:rFonts w:ascii="Times New Roman;serif" w:hAnsi="Times New Roman;serif"/>
                  <w:b w:val="false"/>
                  <w:color w:val="0000FF"/>
                  <w:sz w:val="20"/>
                  <w:u w:val="singl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42">
              <w:r>
                <w:rPr>
                  <w:rStyle w:val="InternetLink"/>
                  <w:rFonts w:ascii="Times New Roman;serif" w:hAnsi="Times New Roman;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45">
              <w:r>
                <w:rPr>
                  <w:rStyle w:val="InternetLink"/>
                  <w:rFonts w:ascii="Times New Roman;serif" w:hAnsi="Times New Roman;serif"/>
                  <w:b w:val="false"/>
                  <w:color w:val="0000FF"/>
                  <w:sz w:val="20"/>
                  <w:u w:val="singl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45">
              <w:r>
                <w:rPr>
                  <w:rStyle w:val="InternetLink"/>
                  <w:rFonts w:ascii="Times New Roman;serif" w:hAnsi="Times New Roman;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48">
              <w:r>
                <w:rPr>
                  <w:rStyle w:val="InternetLink"/>
                  <w:rFonts w:ascii="Times New Roman;serif" w:hAnsi="Times New Roman;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48">
              <w:r>
                <w:rPr>
                  <w:rStyle w:val="InternetLink"/>
                  <w:rFonts w:ascii="Times New Roman;serif" w:hAnsi="Times New Roman;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51">
              <w:r>
                <w:rPr>
                  <w:rStyle w:val="InternetLink"/>
                  <w:rFonts w:ascii="Times New Roman;serif" w:hAnsi="Times New Roman;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51">
              <w:r>
                <w:rPr>
                  <w:rStyle w:val="InternetLink"/>
                  <w:rFonts w:ascii="Times New Roman;serif" w:hAnsi="Times New Roman;serif"/>
                  <w:b w:val="false"/>
                  <w:color w:val="0000FF"/>
                  <w:sz w:val="20"/>
                  <w:u w:val="single"/>
                </w:rPr>
                <w:t>42</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741c8bc1ad4103b1dc51d806236551_154">
              <w:r>
                <w:rPr>
                  <w:rStyle w:val="InternetLink"/>
                  <w:rFonts w:ascii="Times New Roman;serif" w:hAnsi="Times New Roman;serif"/>
                  <w:b w:val="false"/>
                  <w:color w:val="0000FF"/>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741c8bc1ad4103b1dc51d806236551_154">
              <w:r>
                <w:rPr>
                  <w:rStyle w:val="InternetLink"/>
                  <w:rFonts w:ascii="Times New Roman;serif" w:hAnsi="Times New Roman;serif"/>
                  <w:b w:val="false"/>
                  <w:color w:val="0000FF"/>
                  <w:sz w:val="20"/>
                  <w:u w:val="single"/>
                </w:rPr>
                <w:t>43</w:t>
              </w:r>
            </w:hyperlink>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8721"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8721"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terms or acronyms used in this Quarterly Report on Form 10-Q are defined below:</w:t>
      </w:r>
    </w:p>
    <w:tbl>
      <w:tblPr>
        <w:tblW w:w="10205" w:type="dxa"/>
        <w:jc w:val="center"/>
        <w:tblInd w:w="0" w:type="dxa"/>
        <w:tblLayout w:type="fixed"/>
        <w:tblCellMar>
          <w:top w:w="28" w:type="dxa"/>
          <w:left w:w="28" w:type="dxa"/>
          <w:bottom w:w="28" w:type="dxa"/>
          <w:right w:w="28" w:type="dxa"/>
        </w:tblCellMar>
      </w:tblPr>
      <w:tblGrid>
        <w:gridCol w:w="629"/>
        <w:gridCol w:w="351"/>
        <w:gridCol w:w="353"/>
        <w:gridCol w:w="109"/>
        <w:gridCol w:w="109"/>
        <w:gridCol w:w="109"/>
        <w:gridCol w:w="2994"/>
        <w:gridCol w:w="2295"/>
        <w:gridCol w:w="3256"/>
      </w:tblGrid>
      <w:tr>
        <w:trPr/>
        <w:tc>
          <w:tcPr>
            <w:tcW w:w="6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8872" w:type="dxa"/>
            <w:gridSpan w:val="6"/>
            <w:tcBorders/>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8872" w:type="dxa"/>
            <w:gridSpan w:val="6"/>
            <w:tcBorders/>
          </w:tcPr>
          <w:p>
            <w:pPr>
              <w:pStyle w:val="TableContents"/>
              <w:bidi w:val="0"/>
              <w:spacing w:before="0" w:after="283"/>
              <w:jc w:val="left"/>
              <w:rPr>
                <w:sz w:val="4"/>
                <w:szCs w:val="4"/>
              </w:rPr>
            </w:pPr>
            <w:r>
              <w:rPr>
                <w:sz w:val="4"/>
                <w:szCs w:val="4"/>
              </w:rPr>
            </w:r>
          </w:p>
        </w:tc>
      </w:tr>
      <w:tr>
        <w:trPr/>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Definition </w:t>
            </w:r>
          </w:p>
        </w:tc>
      </w:tr>
      <w:tr>
        <w:trPr/>
        <w:tc>
          <w:tcPr>
            <w:tcW w:w="1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Annual Report on Form 10-K filed with SEC on February 24, 2026</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7.250% senior unsecured notes due 2029 issued by LNWI</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7.500% senior unsecured notes due 2031 issued by LNWI</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6.250% senior unsecured notes due 2033 issued by LNWI</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our primary performance measure of profit or loss for our business segments</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Securities Exchange</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CHESS depositary interests</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casino-management system</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 (excluding goodwill)</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Grover Charitable Gaming business acquired on May 16, 2025</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KPIs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Performance Indicators</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L&amp;W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&amp; Wonder, Inc.</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LBO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betting office</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and Wonder International, Inc., a wholly-owned subsidiary of L&amp;W and successor to Scientific Games International, Inc.</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That certain credit agreement, dated as of April 14, 2022, among LNWI, as the borrower, L&amp;W, as a guarantor, the lenders from time to time party thereto, JPMorgan Chase Bank, N.A., as Administrative Agent, Collateral Agent and Swingline Lender, BofA Securities, Inc., BNP Paribas Securities Corp., Deutsche Bank Securities Inc., Fifth Third Bank, National Association, Barclays Bank PLC, Citizens Bank, N.A., Goldman Sachs Bank USA, Morgan Stanley Senior Funding, Inc., Royal Bank of Canada, Truist Securities, Inc., Credit Suisse Loan Funding LLC and Macquarie Capital (USA) Inc. as Lead Arrangers and Joint Bookrunners, as amended, restated, amended and restated, supplemented or otherwise modified from time to time</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Credit Agreement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That certain credit agreement, dated as of May 15, 2025, among LNWI, as the borrower, L&amp;W, as a guarantor, the lenders from time to time party thereto, JPMorgan Chase Bank, N.A., as Administrative Agent and Collateral Agent, JPMorgan Chase Bank, N.A., BofA Securities, Inc., Wells Fargo Securities, LLC, PNC Capital Markets LLC, Truist Securities, Inc., Citizens Bank, N.A., Sumitomo Mitsui Banking Corporation, BNP Paribas Securities Corp., KeyBanc Capital Markets Inc., U.S. Bank National Association, Fifth Third Bank, National Association, Goldman Sachs Bank USA and Morgan Stanley Senior Funding, Inc. as Joint Lead Arrangers and Joint Bookrunners and Deutsche Bank Securities Inc., as Co-Documentation Agent, as amended, restated, amended and restated, supplemented or otherwise modified from time to time</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with aggregate commitments of $1.0 billion extended pursuant to the LNWI Credit Agreement</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 provided for by the LNWI Credit Agreement A</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facility provided for by the LNWI Credit Agreement</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note in the Notes to Condensed Consolidated Financial Statements in this Quarterly Report on Form 10-Q, unless otherwise indicated</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gaming machines provided to customers through service or leasing arrangements in which we earn revenues and are paid based on: (1) a percentage of the amount wagered less payouts; (2) fixed daily-fees; (3) a percentage of the amount wagered; or (4) a combination of (2) and (3)</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SciPlay business segment</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the 2029 Unsecured Notes, 2031 Unsecured Notes and 2033 Unsecured Notes, collectively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9401" w:type="dxa"/>
        <w:jc w:val="center"/>
        <w:tblInd w:w="0" w:type="dxa"/>
        <w:tblLayout w:type="fixed"/>
        <w:tblCellMar>
          <w:top w:w="28" w:type="dxa"/>
          <w:left w:w="28" w:type="dxa"/>
          <w:bottom w:w="28" w:type="dxa"/>
          <w:right w:w="28" w:type="dxa"/>
        </w:tblCellMar>
      </w:tblPr>
      <w:tblGrid>
        <w:gridCol w:w="609"/>
        <w:gridCol w:w="534"/>
        <w:gridCol w:w="537"/>
        <w:gridCol w:w="109"/>
        <w:gridCol w:w="109"/>
        <w:gridCol w:w="109"/>
        <w:gridCol w:w="2160"/>
        <w:gridCol w:w="2160"/>
        <w:gridCol w:w="307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21" w:type="dxa"/>
            <w:gridSpan w:val="6"/>
            <w:tcBorders/>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21" w:type="dxa"/>
            <w:gridSpan w:val="6"/>
            <w:tcBorders/>
          </w:tcPr>
          <w:p>
            <w:pPr>
              <w:pStyle w:val="TableContents"/>
              <w:bidi w:val="0"/>
              <w:spacing w:before="0" w:after="283"/>
              <w:jc w:val="left"/>
              <w:rPr>
                <w:sz w:val="4"/>
                <w:szCs w:val="4"/>
              </w:rPr>
            </w:pPr>
            <w:r>
              <w:rPr>
                <w:sz w:val="4"/>
                <w:szCs w:val="4"/>
              </w:rPr>
            </w:r>
          </w:p>
        </w:tc>
      </w:tr>
      <w:tr>
        <w:trPr/>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Definition </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Shufflers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various models of automatic card shufflers, deck checkers and roulette chip sorters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50 states in the U.S. plus the District of Columbia, U.S. Virgin Islands and Puerto Rico</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VGT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 gaming terminal</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 lottery terminal</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Intellectual Property Rights</w:t>
      </w:r>
    </w:p>
    <w:p>
      <w:pPr>
        <w:pStyle w:val="TextBody"/>
        <w:bidi w:val="0"/>
        <w:spacing w:lineRule="auto" w:line="288" w:before="0" w:after="160"/>
        <w:jc w:val="left"/>
        <w:rPr/>
      </w:pPr>
      <w:r>
        <w:rPr>
          <w:rFonts w:ascii="Times New Roman;serif" w:hAnsi="Times New Roman;serif"/>
          <w:b w:val="false"/>
          <w:color w:val="000000"/>
          <w:sz w:val="20"/>
        </w:rPr>
        <w:t xml:space="preserve">All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notices signify marks registered in the United States. © 2026 Light &amp; Wonder, Inc. All Rights Reserved.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2026 Hasbro. All Rights Reserved. Licensed by Hasbro.</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Frankenstein is a trademark and copyright of Universal Studios. Licensed by Universal. All Rights Reserved.</w:t>
      </w:r>
    </w:p>
    <w:p>
      <w:pPr>
        <w:pStyle w:val="TextBody"/>
        <w:bidi w:val="0"/>
        <w:spacing w:lineRule="auto" w:line="288" w:before="0" w:after="160"/>
        <w:jc w:val="left"/>
        <w:rPr/>
      </w:pPr>
      <w:r>
        <w:rPr>
          <w:rFonts w:ascii="Times New Roman;serif" w:hAnsi="Times New Roman;serif"/>
          <w:b w:val="false"/>
          <w:color w:val="000000"/>
          <w:sz w:val="20"/>
        </w:rPr>
        <w:t>UNIVERSAL MONSTERS™</w:t>
      </w:r>
      <w:r>
        <w:rPr>
          <w:color w:val="000000"/>
        </w:rPr>
        <w:t xml:space="preserve"> </w:t>
      </w:r>
      <w:r>
        <w:rPr>
          <w:rFonts w:ascii="Times New Roman;serif" w:hAnsi="Times New Roman;serif"/>
          <w:b w:val="false"/>
          <w:color w:val="000000"/>
          <w:sz w:val="20"/>
        </w:rPr>
        <w:t>The Universal Studios Monsters are trademarks and copyrights of Universal Studios. Licensed by Universal. All Rights Reserved.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KONG: SKULL ISLAND and all related characters and elements © Warner Bros. Entertainment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inability to successfully execute our strategy;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slow growth of new gaming jurisdictions, slow addition of casinos in existing jurisdictions and declines in the replacement cycle of gaming machines;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relating to foreign operations, including anti-corruption laws, fluctuations in currency rates, restrictions on the payment of dividends from earnings, restrictions on the import of products and financial instability;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difficulty predicting what impact new or increased tariffs imposed by and other trade actions taken by the U.S. and foreign jurisdictions could have on our business;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U.S. and international economic and industry conditions, including changes in consumer sentiment and discretionary spending, increases in benchmark interest rates and the effects of inflation;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public perception of our response to environmental, social and governance (or “ESG”) issues;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effects of health epidemics, contagious disease outbreaks and public perception thereof;</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progress under, or the elimination of our share repurchase program;</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level of our indebtedness, higher interest rates, availability or adequacy of cash flows and liquidity to satisfy indebtedness, other obligations or future cash needs;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further reduce or refinance our indebtedness;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restrictions and covenants in debt agreements, including those that could result in acceleration of the maturity of our indebtedness;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win, retain or renew, or unfavorable revisions of, existing contracts, and the inability to enter into new contracts;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and uncertainties of ongoing changes in U.K. gaming legislation, including any new or revised licensing and taxation regimes, responsible gambling requirements and/or sanctions on unlicensed providers;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adapt to, and offer products that keep pace with, evolving technology, including any failure of our investment of significant resources in our R&amp;D efforts;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of our investments in artificial intelligence and infrastructure to achieve some or all of their intended benefits, including improved efficiency and growth;</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to retain key management and employees;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demand for our products and services;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dependence on suppliers and manufacturers;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SciPlay’s dependence on certain key providers;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ownership changes and consolidation in the gaming industry;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fluctuations in our results due to seasonality and other factors;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risk that any potential disruptions from the Grover acquisition will harm relationships with customers, employees and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possibility that the Company may be unable to achieve expected financial, operational and strategic benefits of the Grover acquisition and may not be able to successfully integrate Grover into the Company’s operations;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relating to delisting our securities from Nasdaq and transitioning to a sole primary listing on the ASX, which could negatively affect the liquidity and trading prices of our common stock or CDIs, impacts our investors’ ability to trade in our securities and our access to the capital markets and could lead to price variations and other impacts on holders of our common stock, CDIs and other securities;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associated with having a sole primary listing on the ASX and remaining an SEC registrant, including significant compliance costs and risks of noncompliance;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security and integrity of our products and systems, including the impact of any security breaches or cyber-attacks;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protection of our intellectual property, inability to license third-party intellectual property and the intellectual property rights of others;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reliance on or failures in information technology and other systems;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reliance on technological blocking systems;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challenges or disruptions relating to the completion of the domestic migration of, and recent acquisition integrations into, our enterprise resource planning system;</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laws, government regulations and new or increased trade tariffs,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legislative interpretation and enforcement, regulatory perception and regulatory risks with respect to gaming, including Internet wagering, social gaming, prediction markets and sweepstakes;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tax laws or tax rulings, or the examination of our tax positions;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opposition to legalized gaming or the expansion of such opposition and potential restrictions;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expectations of the shift to regulated digital gaming;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develop successful products and services and capitalize on trends and changes in our industries, including the expansion of Internet and other forms of digital gaming;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continuing evolution of the scope of data privacy and security regulations, and our belief that the adoption of increasingly restrictive regulations in this area is likely within the U.S. and globally;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incurrence of restructuring costs;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goodwill impairment charges including changes in estimates or judgments related to our impairment analysis of goodwill or other intangible assets;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stock price volatility;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to maintain adequate internal control over financial reporting;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dependence on key executives;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natural events, including natural disasters, extreme weather and other natural events related to climate change, that disrupt our operations, or those of our customers, suppliers or regulators;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expectations of growth in total consumer spending on social casino gaming.</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Additional information regarding risks and uncertainties and other factors that could cause actual results to differ materially from those contemplated in forward-looking statements is included from time to time in our filings with the SEC and lodgements with the ASX, including under the heading “Risk Factors” in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 xml:space="preserve">of this Quarterly Report on Form 10-Q and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 xml:space="preserve">in our 2025 10-K. Forward-looking statements speak only as of the date they are made and, except for our ongoing obligations under the U.S. federal securities laws and ASX Listing Rules obligations, we undertake no,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expressly disclaim any, obligation to publicly update any forward-looking statements whether as a result of new information, future events or otherwise.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charitable gaming, social and digital gaming industries than the same industries in the U.S.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rounding, certain numbers presented herein may not precisely recalculate. Unless otherwise stated, ‘$’ denotes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60"/>
        <w:jc w:val="left"/>
        <w:rPr/>
      </w:pPr>
      <w:r>
        <w:rPr>
          <w:rFonts w:ascii="Times New Roman;serif" w:hAnsi="Times New Roman;serif"/>
          <w:b w:val="false"/>
          <w:color w:val="000000"/>
          <w:sz w:val="20"/>
        </w:rPr>
        <w:t>To the stockholders</w:t>
      </w:r>
      <w:r>
        <w:rPr>
          <w:color w:val="000000"/>
        </w:rPr>
        <w:t xml:space="preserve"> </w:t>
      </w:r>
      <w:r>
        <w:rPr>
          <w:rFonts w:ascii="Times New Roman;serif" w:hAnsi="Times New Roman;serif"/>
          <w:b w:val="false"/>
          <w:color w:val="000000"/>
          <w:sz w:val="20"/>
        </w:rPr>
        <w:t>and the Board of Directors of Light &amp; Wonder, Inc.</w:t>
      </w:r>
    </w:p>
    <w:p>
      <w:pPr>
        <w:pStyle w:val="TextBody"/>
        <w:bidi w:val="0"/>
        <w:spacing w:lineRule="auto" w:line="288" w:before="0" w:after="160"/>
        <w:jc w:val="left"/>
        <w:rPr/>
      </w:pPr>
      <w:r>
        <w:rPr>
          <w:rFonts w:ascii="Times New Roman;serif" w:hAnsi="Times New Roman;serif"/>
          <w:b/>
          <w:color w:val="000000"/>
          <w:sz w:val="20"/>
        </w:rPr>
        <w:t>Results of Review of Interim Financial Information</w:t>
      </w:r>
      <w:r>
        <w:rPr>
          <w:color w:val="000000"/>
        </w:rPr>
        <w:t xml:space="preserve"> </w:t>
      </w:r>
    </w:p>
    <w:p>
      <w:pPr>
        <w:pStyle w:val="TextBody"/>
        <w:bidi w:val="0"/>
        <w:spacing w:lineRule="auto" w:line="288" w:before="0" w:after="160"/>
        <w:jc w:val="left"/>
        <w:rPr/>
      </w:pPr>
      <w:r>
        <w:rPr>
          <w:rFonts w:ascii="Times New Roman;serif" w:hAnsi="Times New Roman;serif"/>
          <w:b w:val="false"/>
          <w:color w:val="000000"/>
          <w:sz w:val="20"/>
        </w:rPr>
        <w:t>We have reviewed the accompanying consolidated balance sheet</w:t>
      </w:r>
      <w:r>
        <w:rPr>
          <w:color w:val="000000"/>
        </w:rPr>
        <w:t xml:space="preserve"> </w:t>
      </w:r>
      <w:r>
        <w:rPr>
          <w:rFonts w:ascii="Times New Roman;serif" w:hAnsi="Times New Roman;serif"/>
          <w:b w:val="false"/>
          <w:color w:val="000000"/>
          <w:sz w:val="20"/>
        </w:rPr>
        <w:t>of Light &amp; Wonder, Inc. and subsidiaries (the "Company") as of March 31, 2026, the consolidated statements of operations and consolidated statements of comprehensive income for the three-month periods ended March 31, 2026 and 2025, the condensed consolidated statement of cash flows for the three-month periods ended March 31,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previously audited, in accordance with the standards of the Public Company Accounting Oversight Board (United States) (PCAOB), the consolidated balance sheet of the Company as of December 31, 2025, and the related statements of operations, comprehensive income, stockholders’ equity, and cash flows for the year then ended (not presented herein); and in our report dated February 24,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Basis for Review Results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Las Vegas, Nevada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8656" w:type="dxa"/>
        <w:jc w:val="center"/>
        <w:tblInd w:w="0" w:type="dxa"/>
        <w:tblLayout w:type="fixed"/>
        <w:tblCellMar>
          <w:top w:w="28" w:type="dxa"/>
          <w:left w:w="28" w:type="dxa"/>
          <w:bottom w:w="28" w:type="dxa"/>
          <w:right w:w="28" w:type="dxa"/>
        </w:tblCellMar>
      </w:tblPr>
      <w:tblGrid>
        <w:gridCol w:w="1982"/>
        <w:gridCol w:w="1751"/>
        <w:gridCol w:w="1756"/>
        <w:gridCol w:w="273"/>
        <w:gridCol w:w="663"/>
        <w:gridCol w:w="141"/>
        <w:gridCol w:w="141"/>
        <w:gridCol w:w="141"/>
        <w:gridCol w:w="141"/>
        <w:gridCol w:w="273"/>
        <w:gridCol w:w="663"/>
        <w:gridCol w:w="141"/>
        <w:gridCol w:w="109"/>
        <w:gridCol w:w="109"/>
        <w:gridCol w:w="109"/>
        <w:gridCol w:w="109"/>
        <w:gridCol w:w="154"/>
      </w:tblGrid>
      <w:tr>
        <w:trPr/>
        <w:tc>
          <w:tcPr>
            <w:tcW w:w="1982"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products</w:t>
            </w:r>
            <w:r>
              <w:rPr>
                <w:rFonts w:ascii="Times New Roman;serif" w:hAnsi="Times New Roman;serif"/>
                <w:b w:val="false"/>
                <w:color w:val="000000"/>
                <w:sz w:val="13"/>
              </w:rPr>
              <w:t>(1)</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share:</w:t>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per share calculations: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Excludes D&amp;A.</w:t>
            </w:r>
          </w:p>
        </w:tc>
        <w:tc>
          <w:tcPr>
            <w:tcW w:w="590" w:type="dxa"/>
            <w:gridSpan w:val="5"/>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100" w:after="283"/>
        <w:jc w:val="center"/>
        <w:rPr/>
      </w:pPr>
      <w:r>
        <w:rPr/>
      </w:r>
    </w:p>
    <w:tbl>
      <w:tblPr>
        <w:tblW w:w="8534" w:type="dxa"/>
        <w:jc w:val="center"/>
        <w:tblInd w:w="0" w:type="dxa"/>
        <w:tblLayout w:type="fixed"/>
        <w:tblCellMar>
          <w:top w:w="28" w:type="dxa"/>
          <w:left w:w="28" w:type="dxa"/>
          <w:bottom w:w="28" w:type="dxa"/>
          <w:right w:w="28" w:type="dxa"/>
        </w:tblCellMar>
      </w:tblPr>
      <w:tblGrid>
        <w:gridCol w:w="1944"/>
        <w:gridCol w:w="1705"/>
        <w:gridCol w:w="1720"/>
        <w:gridCol w:w="303"/>
        <w:gridCol w:w="519"/>
        <w:gridCol w:w="156"/>
        <w:gridCol w:w="156"/>
        <w:gridCol w:w="156"/>
        <w:gridCol w:w="156"/>
        <w:gridCol w:w="303"/>
        <w:gridCol w:w="670"/>
        <w:gridCol w:w="156"/>
        <w:gridCol w:w="109"/>
        <w:gridCol w:w="109"/>
        <w:gridCol w:w="109"/>
        <w:gridCol w:w="109"/>
        <w:gridCol w:w="154"/>
      </w:tblGrid>
      <w:tr>
        <w:trPr/>
        <w:tc>
          <w:tcPr>
            <w:tcW w:w="1944"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 net of tax</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unrealized gain (loss), net of tax</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center"/>
        <w:tblInd w:w="0" w:type="dxa"/>
        <w:tblLayout w:type="fixed"/>
        <w:tblCellMar>
          <w:top w:w="28" w:type="dxa"/>
          <w:left w:w="28" w:type="dxa"/>
          <w:bottom w:w="28" w:type="dxa"/>
          <w:right w:w="28" w:type="dxa"/>
        </w:tblCellMar>
      </w:tblPr>
      <w:tblGrid>
        <w:gridCol w:w="2831"/>
        <w:gridCol w:w="2339"/>
        <w:gridCol w:w="2295"/>
        <w:gridCol w:w="252"/>
        <w:gridCol w:w="735"/>
        <w:gridCol w:w="130"/>
        <w:gridCol w:w="109"/>
        <w:gridCol w:w="109"/>
        <w:gridCol w:w="109"/>
        <w:gridCol w:w="278"/>
        <w:gridCol w:w="812"/>
        <w:gridCol w:w="206"/>
      </w:tblGrid>
      <w:tr>
        <w:trPr/>
        <w:tc>
          <w:tcPr>
            <w:tcW w:w="2831"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$28 and $29,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deposits and other current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$3 and $2,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199.0 shares authorized; 78.7 and 118.6 shares issued, respectively, and 78.7 and 77.1 shares outstanding,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41.5 shares as of December 31, 2025</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2740"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726" w:type="dxa"/>
        <w:jc w:val="center"/>
        <w:tblInd w:w="0" w:type="dxa"/>
        <w:tblLayout w:type="fixed"/>
        <w:tblCellMar>
          <w:top w:w="28" w:type="dxa"/>
          <w:left w:w="28" w:type="dxa"/>
          <w:bottom w:w="28" w:type="dxa"/>
          <w:right w:w="28" w:type="dxa"/>
        </w:tblCellMar>
      </w:tblPr>
      <w:tblGrid>
        <w:gridCol w:w="2491"/>
        <w:gridCol w:w="2194"/>
        <w:gridCol w:w="2200"/>
        <w:gridCol w:w="286"/>
        <w:gridCol w:w="633"/>
        <w:gridCol w:w="148"/>
        <w:gridCol w:w="148"/>
        <w:gridCol w:w="148"/>
        <w:gridCol w:w="148"/>
        <w:gridCol w:w="286"/>
        <w:gridCol w:w="633"/>
        <w:gridCol w:w="148"/>
        <w:gridCol w:w="109"/>
        <w:gridCol w:w="154"/>
      </w:tblGrid>
      <w:tr>
        <w:trPr/>
        <w:tc>
          <w:tcPr>
            <w:tcW w:w="2491"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accounts, excluding the effects of acquisition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facility</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Repayments under revolving credit facility </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deferred financing costs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license obligations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L&amp;W common stock</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redemptions of common stock under stock-based compensation plans and other</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transactions: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2841" w:type="dxa"/>
            <w:gridSpan w:val="11"/>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USD, table amounts in millions,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 Description of the Business and Summary of Significant Accounting Policies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Description of the Business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We report our results of operations in three reportable business segments—Gaming, SciPlay and iGaming—representing our different products and services.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opinion of L&amp;W and its management, we have made all adjustments necessary to present fairly our condensed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2025 10-K. Interim results of operations are not necessarily indicative of results of operations to be expected for a full year.</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Significant Accounting Policies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significant accounting policies described within the Notes of our 2025 10-K, other than those related to internal-use capitalized software costs as described in Note 9.</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Acquisition of Grover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16, 2025, we completed the acquisition of Grover for an upfront consideration of $850 million, subject to certain customary purchase price adjustments as set forth in the purchase agreement, and up to $200 million in cash in the aggregate in the form of contingent acquisition consideration payments based on achievement of certain revenue metrics over a four-year period. Grover is a leading provider of electronic pull tabs currently distributed over six U.S. states: North Dakota, Ohio, Virginia, Kentucky, New Hampshire and Indiana.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Grover revenue and net income included in the condensed consolidated statements of operations and comprehensive income were not material. The Grover operating segment was aggregated with our Gaming reportable business segment.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Computation of Basic and Diluted Net Income Per Share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net income per share are based upon net income divided by the weighted average number of common shares outstanding during the period. Diluted net income per share reflects the effect of the assumed exercise of stock options and vesting of RSUs only in the periods in which such effect would have been dilutive to net income. For the three months ended March 31, 2026 and 2025, we included 1.6 million and 1.9 million, respectively, of common stock equivalents in the calculation of diluted net income per share.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New Accounting Guidance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FASB issued ASU No. 2025-06, under Subtopic 350-40,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in September 2025. The new guidance aims to modernize the accounting for internal-use capitalized software costs and removes all references to prescriptive and sequential software development stages (referred to as “project stages”) throughout Subtopic 350-40. An entity is therefore required to start capitalizing internal-use software costs when management has authorized and committed to funding the software project, and when it is probable that the project will be completed and the software will be used to perform the function intended (the “probable-to-complete” recognition threshold). We adopted this guidance as of January 1, 2026, and it did not have a material impact on our consolidated financial statements.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recent accounting pronouncements or changes in accounting pronouncements since those described within Note 1 of our 2025 10-K that are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revenues by type within each of our reportable business segments:</w:t>
      </w:r>
    </w:p>
    <w:tbl>
      <w:tblPr>
        <w:tblW w:w="7566" w:type="dxa"/>
        <w:jc w:val="left"/>
        <w:tblInd w:w="0" w:type="dxa"/>
        <w:tblLayout w:type="fixed"/>
        <w:tblCellMar>
          <w:top w:w="28" w:type="dxa"/>
          <w:left w:w="28" w:type="dxa"/>
          <w:bottom w:w="28" w:type="dxa"/>
          <w:right w:w="28" w:type="dxa"/>
        </w:tblCellMar>
      </w:tblPr>
      <w:tblGrid>
        <w:gridCol w:w="1267"/>
        <w:gridCol w:w="1113"/>
        <w:gridCol w:w="1123"/>
        <w:gridCol w:w="134"/>
        <w:gridCol w:w="134"/>
        <w:gridCol w:w="134"/>
        <w:gridCol w:w="353"/>
        <w:gridCol w:w="782"/>
        <w:gridCol w:w="182"/>
        <w:gridCol w:w="182"/>
        <w:gridCol w:w="182"/>
        <w:gridCol w:w="182"/>
        <w:gridCol w:w="353"/>
        <w:gridCol w:w="782"/>
        <w:gridCol w:w="182"/>
        <w:gridCol w:w="109"/>
        <w:gridCol w:w="109"/>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Gaming</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operations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systems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products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SciPlay</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Third-party platforms and other</w:t>
            </w:r>
            <w:r>
              <w:rPr>
                <w:rFonts w:ascii="Times New Roman;serif" w:hAnsi="Times New Roman;serif"/>
                <w:b w:val="false"/>
                <w:color w:val="000000"/>
                <w:sz w:val="13"/>
              </w:rPr>
              <w:t>(1)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platforms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iGaming</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Other primarily represents advertising revenue, which was not material for the periods presented.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rental income revenue included in services revenue within the consolidated statement of operations that is outside the scope of ASC 606 was $156 million and $138 million for the three months ended March 31, 2026 and 2025, respectively.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Contract Liabilities and Other Disclosures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contract liabilities for the reporting period:</w:t>
      </w:r>
    </w:p>
    <w:tbl>
      <w:tblPr>
        <w:tblW w:w="8905" w:type="dxa"/>
        <w:jc w:val="left"/>
        <w:tblInd w:w="0" w:type="dxa"/>
        <w:tblLayout w:type="fixed"/>
        <w:tblCellMar>
          <w:top w:w="28" w:type="dxa"/>
          <w:left w:w="28" w:type="dxa"/>
          <w:bottom w:w="28" w:type="dxa"/>
          <w:right w:w="28" w:type="dxa"/>
        </w:tblCellMar>
      </w:tblPr>
      <w:tblGrid>
        <w:gridCol w:w="1878"/>
        <w:gridCol w:w="1652"/>
        <w:gridCol w:w="1658"/>
        <w:gridCol w:w="120"/>
        <w:gridCol w:w="120"/>
        <w:gridCol w:w="120"/>
        <w:gridCol w:w="974"/>
        <w:gridCol w:w="1668"/>
        <w:gridCol w:w="715"/>
      </w:tblGrid>
      <w:tr>
        <w:trPr/>
        <w:tc>
          <w:tcPr>
            <w:tcW w:w="187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liability balance, beginning of period</w:t>
            </w:r>
            <w:r>
              <w:rPr>
                <w:rFonts w:ascii="Times New Roman;serif" w:hAnsi="Times New Roman;serif"/>
                <w:b w:val="false"/>
                <w:color w:val="000000"/>
                <w:sz w:val="13"/>
              </w:rPr>
              <w:t>(1)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recognized during the period</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revenue from beginning balance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liability balance, end of period</w:t>
            </w:r>
            <w:r>
              <w:rPr>
                <w:rFonts w:ascii="Times New Roman;serif" w:hAnsi="Times New Roman;serif"/>
                <w:b w:val="false"/>
                <w:color w:val="000000"/>
                <w:sz w:val="13"/>
              </w:rPr>
              <w:t>(1)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9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Contract liabilities are included within Accrued liabilities and Other long-term liabilities in our consolidated balance sheets.</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balances in these accounts for the periods indicated (other than contract liabilities disclosed above):</w:t>
      </w:r>
    </w:p>
    <w:tbl>
      <w:tblPr>
        <w:tblW w:w="9475" w:type="dxa"/>
        <w:jc w:val="left"/>
        <w:tblInd w:w="0" w:type="dxa"/>
        <w:tblLayout w:type="fixed"/>
        <w:tblCellMar>
          <w:top w:w="28" w:type="dxa"/>
          <w:left w:w="28" w:type="dxa"/>
          <w:bottom w:w="28" w:type="dxa"/>
          <w:right w:w="28" w:type="dxa"/>
        </w:tblCellMar>
      </w:tblPr>
      <w:tblGrid>
        <w:gridCol w:w="1840"/>
        <w:gridCol w:w="1614"/>
        <w:gridCol w:w="1623"/>
        <w:gridCol w:w="411"/>
        <w:gridCol w:w="907"/>
        <w:gridCol w:w="213"/>
        <w:gridCol w:w="168"/>
        <w:gridCol w:w="168"/>
        <w:gridCol w:w="168"/>
        <w:gridCol w:w="686"/>
        <w:gridCol w:w="1175"/>
        <w:gridCol w:w="502"/>
      </w:tblGrid>
      <w:tr>
        <w:trPr/>
        <w:tc>
          <w:tcPr>
            <w:tcW w:w="184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Receivables</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Contract Assets</w:t>
            </w:r>
            <w:r>
              <w:rPr>
                <w:rFonts w:ascii="Times New Roman;serif" w:hAnsi="Times New Roman;serif"/>
                <w:b/>
                <w:color w:val="000000"/>
                <w:sz w:val="12"/>
              </w:rPr>
              <w:t>(1)</w:t>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 balance</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 of period balance, March 31, 2026</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507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9475" w:type="dxa"/>
            <w:gridSpan w:val="12"/>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16"/>
              </w:rPr>
            </w:pPr>
            <w:r>
              <w:rPr>
                <w:rFonts w:ascii="Times New Roman;serif" w:hAnsi="Times New Roman;serif"/>
                <w:b w:val="false"/>
                <w:color w:val="000000"/>
                <w:sz w:val="16"/>
              </w:rPr>
              <w:t>(1) Contract assets are included primarily within Prepaid expenses, deposits and other current assets in our consolidated balance sheets.</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did not have material unsatisfied performance obligations for contracts expected to be long-term or contracts for which we recognize revenue at an amount other than that for which we have the right to invoice for goods or services delivered or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(3) Reportable Segments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report our operations in three reportable business segments—Gaming, SciPlay and iGaming—representing our different products and services. A detailed discussion regarding the products and services from which each reportable business segment derives its revenue is included in Notes 2 and 3 in our 2025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financial performance, our Chief Operating Decision Maker (“CODM,” defined as our Chief Executive Officer) focuses on AEBITDA as management’s primary segment measure of profit or loss, which is described in footnote (5) to the below table. Our CODM uses reportable business segment AEBITDA to evaluate the performance of each reportable business segment and to allocate resources. Additionally, AEBITDA is one of the key metrics used in our incentive compensation program. The accounting policies for our reportable segments are the same as those described within the Notes in our 2025 10-K. The following tables present our reportable segment information:</w:t>
      </w:r>
    </w:p>
    <w:tbl>
      <w:tblPr>
        <w:tblW w:w="10205" w:type="dxa"/>
        <w:jc w:val="left"/>
        <w:tblInd w:w="0" w:type="dxa"/>
        <w:tblLayout w:type="fixed"/>
        <w:tblCellMar>
          <w:top w:w="28" w:type="dxa"/>
          <w:left w:w="28" w:type="dxa"/>
          <w:bottom w:w="28" w:type="dxa"/>
          <w:right w:w="28" w:type="dxa"/>
        </w:tblCellMar>
      </w:tblPr>
      <w:tblGrid>
        <w:gridCol w:w="1055"/>
        <w:gridCol w:w="510"/>
        <w:gridCol w:w="513"/>
        <w:gridCol w:w="236"/>
        <w:gridCol w:w="523"/>
        <w:gridCol w:w="122"/>
        <w:gridCol w:w="122"/>
        <w:gridCol w:w="122"/>
        <w:gridCol w:w="122"/>
        <w:gridCol w:w="236"/>
        <w:gridCol w:w="523"/>
        <w:gridCol w:w="122"/>
        <w:gridCol w:w="122"/>
        <w:gridCol w:w="122"/>
        <w:gridCol w:w="122"/>
        <w:gridCol w:w="266"/>
        <w:gridCol w:w="455"/>
        <w:gridCol w:w="138"/>
        <w:gridCol w:w="122"/>
        <w:gridCol w:w="122"/>
        <w:gridCol w:w="122"/>
        <w:gridCol w:w="341"/>
        <w:gridCol w:w="756"/>
        <w:gridCol w:w="179"/>
        <w:gridCol w:w="122"/>
        <w:gridCol w:w="122"/>
        <w:gridCol w:w="122"/>
        <w:gridCol w:w="421"/>
        <w:gridCol w:w="812"/>
        <w:gridCol w:w="220"/>
        <w:gridCol w:w="122"/>
        <w:gridCol w:w="122"/>
        <w:gridCol w:w="122"/>
        <w:gridCol w:w="236"/>
        <w:gridCol w:w="523"/>
        <w:gridCol w:w="188"/>
      </w:tblGrid>
      <w:tr>
        <w:trPr/>
        <w:tc>
          <w:tcPr>
            <w:tcW w:w="10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three months ended March 31, 2026</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 AEBITDA is reconciled to net income before income taxes with the following adjustments, as applicable: (a) depreciation and amortization expense and impairment charges (including goodwill impairments); (b)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(c) interest expense; (d) loss on debt refinancing transactions; (e) change in fair value of investments and remeasurement of debt and other; (f) other income (expense), net, including foreign currency gains or losses and earnings (loss) from equity investments; and (g) stock-based compensation. AEBITDA is presented as our primary segment measure of profit or loss.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7"/>
        <w:gridCol w:w="670"/>
        <w:gridCol w:w="675"/>
        <w:gridCol w:w="212"/>
        <w:gridCol w:w="469"/>
        <w:gridCol w:w="109"/>
        <w:gridCol w:w="109"/>
        <w:gridCol w:w="109"/>
        <w:gridCol w:w="109"/>
        <w:gridCol w:w="212"/>
        <w:gridCol w:w="469"/>
        <w:gridCol w:w="109"/>
        <w:gridCol w:w="109"/>
        <w:gridCol w:w="109"/>
        <w:gridCol w:w="109"/>
        <w:gridCol w:w="238"/>
        <w:gridCol w:w="408"/>
        <w:gridCol w:w="123"/>
        <w:gridCol w:w="109"/>
        <w:gridCol w:w="109"/>
        <w:gridCol w:w="109"/>
        <w:gridCol w:w="354"/>
        <w:gridCol w:w="785"/>
        <w:gridCol w:w="185"/>
        <w:gridCol w:w="109"/>
        <w:gridCol w:w="109"/>
        <w:gridCol w:w="109"/>
        <w:gridCol w:w="458"/>
        <w:gridCol w:w="883"/>
        <w:gridCol w:w="240"/>
        <w:gridCol w:w="109"/>
        <w:gridCol w:w="109"/>
        <w:gridCol w:w="109"/>
        <w:gridCol w:w="212"/>
        <w:gridCol w:w="469"/>
        <w:gridCol w:w="173"/>
      </w:tblGrid>
      <w:tr>
        <w:trPr/>
        <w:tc>
          <w:tcPr>
            <w:tcW w:w="111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three months ended March 31, 2025</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AEBITDA is described in footnote (5) to the first table in this Note 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asset balances of each reportable business segment for the periods indicated:</w:t>
      </w:r>
    </w:p>
    <w:tbl>
      <w:tblPr>
        <w:tblW w:w="10205" w:type="dxa"/>
        <w:jc w:val="left"/>
        <w:tblInd w:w="0" w:type="dxa"/>
        <w:tblLayout w:type="fixed"/>
        <w:tblCellMar>
          <w:top w:w="28" w:type="dxa"/>
          <w:left w:w="28" w:type="dxa"/>
          <w:bottom w:w="28" w:type="dxa"/>
          <w:right w:w="28" w:type="dxa"/>
        </w:tblCellMar>
      </w:tblPr>
      <w:tblGrid>
        <w:gridCol w:w="765"/>
        <w:gridCol w:w="525"/>
        <w:gridCol w:w="528"/>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328"/>
        <w:gridCol w:w="962"/>
        <w:gridCol w:w="171"/>
        <w:gridCol w:w="109"/>
        <w:gridCol w:w="109"/>
        <w:gridCol w:w="109"/>
        <w:gridCol w:w="482"/>
        <w:gridCol w:w="1066"/>
        <w:gridCol w:w="249"/>
        <w:gridCol w:w="109"/>
        <w:gridCol w:w="109"/>
        <w:gridCol w:w="109"/>
        <w:gridCol w:w="211"/>
        <w:gridCol w:w="616"/>
        <w:gridCol w:w="159"/>
      </w:tblGrid>
      <w:tr>
        <w:trPr/>
        <w:tc>
          <w:tcPr>
            <w:tcW w:w="76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as of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Assets as of December 31,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amounts) and items to reconcile the total reportable segments assets to our consolidated assets.</w:t>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8387"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(4) Restructuring and Other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and other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The following table summarizes pre-tax restructuring and other costs for the periods presented:</w:t>
      </w:r>
    </w:p>
    <w:tbl>
      <w:tblPr>
        <w:tblW w:w="7801" w:type="dxa"/>
        <w:jc w:val="center"/>
        <w:tblInd w:w="0" w:type="dxa"/>
        <w:tblLayout w:type="fixed"/>
        <w:tblCellMar>
          <w:top w:w="28" w:type="dxa"/>
          <w:left w:w="28" w:type="dxa"/>
          <w:bottom w:w="28" w:type="dxa"/>
          <w:right w:w="28" w:type="dxa"/>
        </w:tblCellMar>
      </w:tblPr>
      <w:tblGrid>
        <w:gridCol w:w="1351"/>
        <w:gridCol w:w="1188"/>
        <w:gridCol w:w="1196"/>
        <w:gridCol w:w="605"/>
        <w:gridCol w:w="1036"/>
        <w:gridCol w:w="312"/>
        <w:gridCol w:w="312"/>
        <w:gridCol w:w="312"/>
        <w:gridCol w:w="109"/>
        <w:gridCol w:w="109"/>
        <w:gridCol w:w="109"/>
        <w:gridCol w:w="109"/>
        <w:gridCol w:w="109"/>
        <w:gridCol w:w="211"/>
        <w:gridCol w:w="361"/>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severance and related</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related (see Note 15)</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 acquisitions and related</w:t>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other</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4066" w:type="dxa"/>
            <w:gridSpan w:val="15"/>
            <w:tcBorders/>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4066" w:type="dxa"/>
            <w:gridSpan w:val="15"/>
            <w:tcBorders/>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(5) Receivables, Allowance for Credit Losses and Credit Quality of Receivables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Receivables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current and long-term receivables, net:</w:t>
      </w:r>
    </w:p>
    <w:tbl>
      <w:tblPr>
        <w:tblW w:w="5501" w:type="dxa"/>
        <w:jc w:val="left"/>
        <w:tblInd w:w="0" w:type="dxa"/>
        <w:tblLayout w:type="fixed"/>
        <w:tblCellMar>
          <w:top w:w="28" w:type="dxa"/>
          <w:left w:w="28" w:type="dxa"/>
          <w:bottom w:w="28" w:type="dxa"/>
          <w:right w:w="28" w:type="dxa"/>
        </w:tblCellMar>
      </w:tblPr>
      <w:tblGrid>
        <w:gridCol w:w="828"/>
        <w:gridCol w:w="729"/>
        <w:gridCol w:w="737"/>
        <w:gridCol w:w="346"/>
        <w:gridCol w:w="765"/>
        <w:gridCol w:w="179"/>
        <w:gridCol w:w="109"/>
        <w:gridCol w:w="109"/>
        <w:gridCol w:w="109"/>
        <w:gridCol w:w="402"/>
        <w:gridCol w:w="891"/>
        <w:gridCol w:w="297"/>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receivables, net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receivables, net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receivables, net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07"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receivable portfolios using both geography and delinquency as key credit quality indicators. The following table summarizes geographical delinquencies of total receivables, net:</w:t>
      </w:r>
    </w:p>
    <w:tbl>
      <w:tblPr>
        <w:tblW w:w="10079" w:type="dxa"/>
        <w:jc w:val="center"/>
        <w:tblInd w:w="0" w:type="dxa"/>
        <w:tblLayout w:type="fixed"/>
        <w:tblCellMar>
          <w:top w:w="28" w:type="dxa"/>
          <w:left w:w="28" w:type="dxa"/>
          <w:bottom w:w="28" w:type="dxa"/>
          <w:right w:w="28" w:type="dxa"/>
        </w:tblCellMar>
      </w:tblPr>
      <w:tblGrid>
        <w:gridCol w:w="862"/>
        <w:gridCol w:w="761"/>
        <w:gridCol w:w="762"/>
        <w:gridCol w:w="211"/>
        <w:gridCol w:w="466"/>
        <w:gridCol w:w="109"/>
        <w:gridCol w:w="109"/>
        <w:gridCol w:w="109"/>
        <w:gridCol w:w="109"/>
        <w:gridCol w:w="771"/>
        <w:gridCol w:w="1318"/>
        <w:gridCol w:w="400"/>
        <w:gridCol w:w="109"/>
        <w:gridCol w:w="109"/>
        <w:gridCol w:w="109"/>
        <w:gridCol w:w="234"/>
        <w:gridCol w:w="517"/>
        <w:gridCol w:w="120"/>
        <w:gridCol w:w="120"/>
        <w:gridCol w:w="120"/>
        <w:gridCol w:w="120"/>
        <w:gridCol w:w="736"/>
        <w:gridCol w:w="1260"/>
        <w:gridCol w:w="538"/>
      </w:tblGrid>
      <w:tr>
        <w:trPr/>
        <w:tc>
          <w:tcPr>
            <w:tcW w:w="86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receivables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allowance: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 allowance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 balances are charged against the allowances after all internal and external collection efforts have been exhausted and the potential for recovery is considered remote.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our allowance for receivable credit losses for each of the three months ended March 31, 2026 and 2025 is as follows:</w:t>
      </w:r>
    </w:p>
    <w:tbl>
      <w:tblPr>
        <w:tblW w:w="8643" w:type="dxa"/>
        <w:jc w:val="center"/>
        <w:tblInd w:w="0" w:type="dxa"/>
        <w:tblLayout w:type="fixed"/>
        <w:tblCellMar>
          <w:top w:w="28" w:type="dxa"/>
          <w:left w:w="28" w:type="dxa"/>
          <w:bottom w:w="28" w:type="dxa"/>
          <w:right w:w="28" w:type="dxa"/>
        </w:tblCellMar>
      </w:tblPr>
      <w:tblGrid>
        <w:gridCol w:w="1282"/>
        <w:gridCol w:w="1125"/>
        <w:gridCol w:w="1132"/>
        <w:gridCol w:w="211"/>
        <w:gridCol w:w="436"/>
        <w:gridCol w:w="109"/>
        <w:gridCol w:w="109"/>
        <w:gridCol w:w="109"/>
        <w:gridCol w:w="109"/>
        <w:gridCol w:w="402"/>
        <w:gridCol w:w="831"/>
        <w:gridCol w:w="207"/>
        <w:gridCol w:w="109"/>
        <w:gridCol w:w="109"/>
        <w:gridCol w:w="109"/>
        <w:gridCol w:w="341"/>
        <w:gridCol w:w="608"/>
        <w:gridCol w:w="177"/>
        <w:gridCol w:w="109"/>
        <w:gridCol w:w="109"/>
        <w:gridCol w:w="109"/>
        <w:gridCol w:w="211"/>
        <w:gridCol w:w="43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and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allowance for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recoveries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2% and 3%, respectively, of our total receivables, net, were past due by over 90 days.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Credit Quality of Receivables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deemed to be exceeding 10%) of our receivables with terms longer than one year are in the Latin America region (“LATAM”) and are primarily comprised of Mexico and Argentina. The following table summarizes our LATAM receivables:</w:t>
      </w:r>
    </w:p>
    <w:tbl>
      <w:tblPr>
        <w:tblW w:w="6899" w:type="dxa"/>
        <w:jc w:val="center"/>
        <w:tblInd w:w="0" w:type="dxa"/>
        <w:tblLayout w:type="fixed"/>
        <w:tblCellMar>
          <w:top w:w="28" w:type="dxa"/>
          <w:left w:w="28" w:type="dxa"/>
          <w:bottom w:w="28" w:type="dxa"/>
          <w:right w:w="28" w:type="dxa"/>
        </w:tblCellMar>
      </w:tblPr>
      <w:tblGrid>
        <w:gridCol w:w="830"/>
        <w:gridCol w:w="731"/>
        <w:gridCol w:w="733"/>
        <w:gridCol w:w="211"/>
        <w:gridCol w:w="361"/>
        <w:gridCol w:w="109"/>
        <w:gridCol w:w="109"/>
        <w:gridCol w:w="109"/>
        <w:gridCol w:w="109"/>
        <w:gridCol w:w="228"/>
        <w:gridCol w:w="390"/>
        <w:gridCol w:w="118"/>
        <w:gridCol w:w="109"/>
        <w:gridCol w:w="109"/>
        <w:gridCol w:w="109"/>
        <w:gridCol w:w="859"/>
        <w:gridCol w:w="1043"/>
        <w:gridCol w:w="63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receivables is estimated by discounting expected future cash flows using current interest rates at which similar loans would be made to borrowers with similar credit ratings and remaining maturities. As of March 31, 2026 and December 31, 2025, the fair value of receivables, net, approximated the carrying value due to contractual terms of receivables generally being less than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(6) Inventories,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5724" w:type="dxa"/>
        <w:jc w:val="left"/>
        <w:tblInd w:w="0" w:type="dxa"/>
        <w:tblLayout w:type="fixed"/>
        <w:tblCellMar>
          <w:top w:w="28" w:type="dxa"/>
          <w:left w:w="28" w:type="dxa"/>
          <w:bottom w:w="28" w:type="dxa"/>
          <w:right w:w="28" w:type="dxa"/>
        </w:tblCellMar>
      </w:tblPr>
      <w:tblGrid>
        <w:gridCol w:w="793"/>
        <w:gridCol w:w="697"/>
        <w:gridCol w:w="700"/>
        <w:gridCol w:w="109"/>
        <w:gridCol w:w="109"/>
        <w:gridCol w:w="109"/>
        <w:gridCol w:w="346"/>
        <w:gridCol w:w="765"/>
        <w:gridCol w:w="179"/>
        <w:gridCol w:w="109"/>
        <w:gridCol w:w="109"/>
        <w:gridCol w:w="109"/>
        <w:gridCol w:w="402"/>
        <w:gridCol w:w="891"/>
        <w:gridCol w:w="29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work-in-process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Parts and work-in-process include parts for gaming machines and our finished goods inventory primarily consist of gaming machines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(7) Property and Equipment,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834" w:type="dxa"/>
        <w:jc w:val="center"/>
        <w:tblInd w:w="0" w:type="dxa"/>
        <w:tblLayout w:type="fixed"/>
        <w:tblCellMar>
          <w:top w:w="28" w:type="dxa"/>
          <w:left w:w="28" w:type="dxa"/>
          <w:bottom w:w="28" w:type="dxa"/>
          <w:right w:w="28" w:type="dxa"/>
        </w:tblCellMar>
      </w:tblPr>
      <w:tblGrid>
        <w:gridCol w:w="1195"/>
        <w:gridCol w:w="1047"/>
        <w:gridCol w:w="1058"/>
        <w:gridCol w:w="109"/>
        <w:gridCol w:w="109"/>
        <w:gridCol w:w="109"/>
        <w:gridCol w:w="346"/>
        <w:gridCol w:w="765"/>
        <w:gridCol w:w="179"/>
        <w:gridCol w:w="109"/>
        <w:gridCol w:w="109"/>
        <w:gridCol w:w="109"/>
        <w:gridCol w:w="402"/>
        <w:gridCol w:w="891"/>
        <w:gridCol w:w="297"/>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is excluded from cost of services, cost of products and other operating expenses and is separately presented within D&amp;A.</w:t>
      </w:r>
    </w:p>
    <w:tbl>
      <w:tblPr>
        <w:tblW w:w="4932" w:type="dxa"/>
        <w:jc w:val="left"/>
        <w:tblInd w:w="0" w:type="dxa"/>
        <w:tblLayout w:type="fixed"/>
        <w:tblCellMar>
          <w:top w:w="28" w:type="dxa"/>
          <w:left w:w="28" w:type="dxa"/>
          <w:bottom w:w="28" w:type="dxa"/>
          <w:right w:w="28" w:type="dxa"/>
        </w:tblCellMar>
      </w:tblPr>
      <w:tblGrid>
        <w:gridCol w:w="679"/>
        <w:gridCol w:w="597"/>
        <w:gridCol w:w="599"/>
        <w:gridCol w:w="322"/>
        <w:gridCol w:w="551"/>
        <w:gridCol w:w="166"/>
        <w:gridCol w:w="166"/>
        <w:gridCol w:w="166"/>
        <w:gridCol w:w="166"/>
        <w:gridCol w:w="322"/>
        <w:gridCol w:w="551"/>
        <w:gridCol w:w="166"/>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(8) Intangible Assets, net and Goodwill</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certain information regarding our intangible assets as of March 31, 2026 and December 31, 2025.</w:t>
      </w:r>
    </w:p>
    <w:tbl>
      <w:tblPr>
        <w:tblW w:w="10205" w:type="dxa"/>
        <w:jc w:val="center"/>
        <w:tblInd w:w="0" w:type="dxa"/>
        <w:tblLayout w:type="fixed"/>
        <w:tblCellMar>
          <w:top w:w="28" w:type="dxa"/>
          <w:left w:w="28" w:type="dxa"/>
          <w:bottom w:w="28" w:type="dxa"/>
          <w:right w:w="28" w:type="dxa"/>
        </w:tblCellMar>
      </w:tblPr>
      <w:tblGrid>
        <w:gridCol w:w="718"/>
        <w:gridCol w:w="612"/>
        <w:gridCol w:w="616"/>
        <w:gridCol w:w="256"/>
        <w:gridCol w:w="749"/>
        <w:gridCol w:w="132"/>
        <w:gridCol w:w="109"/>
        <w:gridCol w:w="109"/>
        <w:gridCol w:w="109"/>
        <w:gridCol w:w="249"/>
        <w:gridCol w:w="747"/>
        <w:gridCol w:w="130"/>
        <w:gridCol w:w="109"/>
        <w:gridCol w:w="109"/>
        <w:gridCol w:w="109"/>
        <w:gridCol w:w="109"/>
        <w:gridCol w:w="245"/>
        <w:gridCol w:w="542"/>
        <w:gridCol w:w="126"/>
        <w:gridCol w:w="109"/>
        <w:gridCol w:w="109"/>
        <w:gridCol w:w="109"/>
        <w:gridCol w:w="256"/>
        <w:gridCol w:w="749"/>
        <w:gridCol w:w="132"/>
        <w:gridCol w:w="109"/>
        <w:gridCol w:w="109"/>
        <w:gridCol w:w="109"/>
        <w:gridCol w:w="249"/>
        <w:gridCol w:w="747"/>
        <w:gridCol w:w="130"/>
        <w:gridCol w:w="109"/>
        <w:gridCol w:w="109"/>
        <w:gridCol w:w="109"/>
        <w:gridCol w:w="245"/>
        <w:gridCol w:w="542"/>
        <w:gridCol w:w="126"/>
        <w:gridCol w:w="163"/>
      </w:tblGrid>
      <w:tr>
        <w:trPr/>
        <w:tc>
          <w:tcPr>
            <w:tcW w:w="7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3"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Intellectual property</w:t>
            </w:r>
            <w:r>
              <w:rPr>
                <w:color w:val="000000"/>
              </w:rPr>
              <w:t xml:space="preserve">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 names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259" w:type="dxa"/>
            <w:gridSpan w:val="3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reflects intangible amortization expense included within D&amp;A:</w:t>
      </w:r>
    </w:p>
    <w:tbl>
      <w:tblPr>
        <w:tblW w:w="4962" w:type="dxa"/>
        <w:jc w:val="center"/>
        <w:tblInd w:w="0" w:type="dxa"/>
        <w:tblLayout w:type="fixed"/>
        <w:tblCellMar>
          <w:top w:w="28" w:type="dxa"/>
          <w:left w:w="28" w:type="dxa"/>
          <w:bottom w:w="28" w:type="dxa"/>
          <w:right w:w="28" w:type="dxa"/>
        </w:tblCellMar>
      </w:tblPr>
      <w:tblGrid>
        <w:gridCol w:w="690"/>
        <w:gridCol w:w="606"/>
        <w:gridCol w:w="609"/>
        <w:gridCol w:w="322"/>
        <w:gridCol w:w="551"/>
        <w:gridCol w:w="166"/>
        <w:gridCol w:w="166"/>
        <w:gridCol w:w="166"/>
        <w:gridCol w:w="166"/>
        <w:gridCol w:w="322"/>
        <w:gridCol w:w="551"/>
        <w:gridCol w:w="166"/>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057"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change in the carrying value of goodwill, by reportable segment, for the period from December 31, 2025 to March 31, 2026.</w:t>
      </w:r>
    </w:p>
    <w:tbl>
      <w:tblPr>
        <w:tblW w:w="8032" w:type="dxa"/>
        <w:jc w:val="center"/>
        <w:tblInd w:w="0" w:type="dxa"/>
        <w:tblLayout w:type="fixed"/>
        <w:tblCellMar>
          <w:top w:w="28" w:type="dxa"/>
          <w:left w:w="28" w:type="dxa"/>
          <w:bottom w:w="28" w:type="dxa"/>
          <w:right w:w="28" w:type="dxa"/>
        </w:tblCellMar>
      </w:tblPr>
      <w:tblGrid>
        <w:gridCol w:w="1127"/>
        <w:gridCol w:w="990"/>
        <w:gridCol w:w="992"/>
        <w:gridCol w:w="232"/>
        <w:gridCol w:w="679"/>
        <w:gridCol w:w="120"/>
        <w:gridCol w:w="120"/>
        <w:gridCol w:w="120"/>
        <w:gridCol w:w="120"/>
        <w:gridCol w:w="232"/>
        <w:gridCol w:w="514"/>
        <w:gridCol w:w="120"/>
        <w:gridCol w:w="120"/>
        <w:gridCol w:w="120"/>
        <w:gridCol w:w="120"/>
        <w:gridCol w:w="232"/>
        <w:gridCol w:w="514"/>
        <w:gridCol w:w="120"/>
        <w:gridCol w:w="120"/>
        <w:gridCol w:w="120"/>
        <w:gridCol w:w="120"/>
        <w:gridCol w:w="232"/>
        <w:gridCol w:w="679"/>
        <w:gridCol w:w="169"/>
      </w:tblGrid>
      <w:tr>
        <w:trPr/>
        <w:tc>
          <w:tcPr>
            <w:tcW w:w="11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Gaming</w:t>
            </w:r>
            <w:r>
              <w:rPr>
                <w:rFonts w:ascii="Times New Roman;serif" w:hAnsi="Times New Roman;serif"/>
                <w:b/>
                <w:color w:val="000000"/>
                <w:sz w:val="12"/>
              </w:rPr>
              <w:t>(1)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2"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Accumulated goodwill impairment charges for the Gaming segment as of March 31, 2026 were $989 million.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(9) Software,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capitalize direct costs for internal-use software projects when it is probable that the project will be completed and the software will be used as intended. Costs incurred prior to meeting the probable threshold and post-implementation maintenance costs are expensed as incurred. Capitalized costs are amortized on a straight-line basis over the estimated useful life, generally 2 to 10 years.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purchase, license and incur costs to develop external use software and game themes (collectively referred to as software) to be used in the products we sell, lease or market to customers. Costs incurred in creating software are expensed when incurred as R&amp;D until technological feasibility has been established, after which costs are capitalized up to the date the software is available for general release to customers. Generally, the software we develop reaches technological feasibility when a working model of the software is available. We capitalize the payments made for software that we purchase or license for use in our products that has previously met the technological feasibility criteria prior to our purchase or license. Additionally, we incur and capitalize regulatory approval costs for our game themes after technological feasibility is achieved. Amortization of capitalized software costs is recorded over the estimated economic life, which is typically 2 to 10 years.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Software, net consisted of the following:</w:t>
      </w:r>
    </w:p>
    <w:tbl>
      <w:tblPr>
        <w:tblW w:w="5814" w:type="dxa"/>
        <w:jc w:val="center"/>
        <w:tblInd w:w="0" w:type="dxa"/>
        <w:tblLayout w:type="fixed"/>
        <w:tblCellMar>
          <w:top w:w="28" w:type="dxa"/>
          <w:left w:w="28" w:type="dxa"/>
          <w:bottom w:w="28" w:type="dxa"/>
          <w:right w:w="28" w:type="dxa"/>
        </w:tblCellMar>
      </w:tblPr>
      <w:tblGrid>
        <w:gridCol w:w="824"/>
        <w:gridCol w:w="725"/>
        <w:gridCol w:w="731"/>
        <w:gridCol w:w="109"/>
        <w:gridCol w:w="109"/>
        <w:gridCol w:w="109"/>
        <w:gridCol w:w="291"/>
        <w:gridCol w:w="849"/>
        <w:gridCol w:w="150"/>
        <w:gridCol w:w="109"/>
        <w:gridCol w:w="109"/>
        <w:gridCol w:w="109"/>
        <w:gridCol w:w="342"/>
        <w:gridCol w:w="999"/>
        <w:gridCol w:w="249"/>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reflects amortization of software included within D&amp;A: </w:t>
      </w:r>
    </w:p>
    <w:tbl>
      <w:tblPr>
        <w:tblW w:w="4962" w:type="dxa"/>
        <w:jc w:val="center"/>
        <w:tblInd w:w="0" w:type="dxa"/>
        <w:tblLayout w:type="fixed"/>
        <w:tblCellMar>
          <w:top w:w="28" w:type="dxa"/>
          <w:left w:w="28" w:type="dxa"/>
          <w:bottom w:w="28" w:type="dxa"/>
          <w:right w:w="28" w:type="dxa"/>
        </w:tblCellMar>
      </w:tblPr>
      <w:tblGrid>
        <w:gridCol w:w="690"/>
        <w:gridCol w:w="606"/>
        <w:gridCol w:w="609"/>
        <w:gridCol w:w="322"/>
        <w:gridCol w:w="551"/>
        <w:gridCol w:w="166"/>
        <w:gridCol w:w="166"/>
        <w:gridCol w:w="166"/>
        <w:gridCol w:w="166"/>
        <w:gridCol w:w="322"/>
        <w:gridCol w:w="551"/>
        <w:gridCol w:w="166"/>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outstanding debt (in order of priority and maturity):</w:t>
      </w:r>
    </w:p>
    <w:tbl>
      <w:tblPr>
        <w:tblW w:w="10205" w:type="dxa"/>
        <w:jc w:val="center"/>
        <w:tblInd w:w="0" w:type="dxa"/>
        <w:tblLayout w:type="fixed"/>
        <w:tblCellMar>
          <w:top w:w="28" w:type="dxa"/>
          <w:left w:w="28" w:type="dxa"/>
          <w:bottom w:w="28" w:type="dxa"/>
          <w:right w:w="28" w:type="dxa"/>
        </w:tblCellMar>
      </w:tblPr>
      <w:tblGrid>
        <w:gridCol w:w="722"/>
        <w:gridCol w:w="485"/>
        <w:gridCol w:w="488"/>
        <w:gridCol w:w="300"/>
        <w:gridCol w:w="300"/>
        <w:gridCol w:w="301"/>
        <w:gridCol w:w="109"/>
        <w:gridCol w:w="109"/>
        <w:gridCol w:w="109"/>
        <w:gridCol w:w="254"/>
        <w:gridCol w:w="254"/>
        <w:gridCol w:w="258"/>
        <w:gridCol w:w="109"/>
        <w:gridCol w:w="109"/>
        <w:gridCol w:w="109"/>
        <w:gridCol w:w="211"/>
        <w:gridCol w:w="617"/>
        <w:gridCol w:w="109"/>
        <w:gridCol w:w="109"/>
        <w:gridCol w:w="109"/>
        <w:gridCol w:w="109"/>
        <w:gridCol w:w="633"/>
        <w:gridCol w:w="1221"/>
        <w:gridCol w:w="330"/>
        <w:gridCol w:w="109"/>
        <w:gridCol w:w="109"/>
        <w:gridCol w:w="109"/>
        <w:gridCol w:w="214"/>
        <w:gridCol w:w="627"/>
        <w:gridCol w:w="110"/>
        <w:gridCol w:w="109"/>
        <w:gridCol w:w="109"/>
        <w:gridCol w:w="109"/>
        <w:gridCol w:w="243"/>
        <w:gridCol w:w="709"/>
        <w:gridCol w:w="184"/>
      </w:tblGrid>
      <w:tr>
        <w:trPr/>
        <w:tc>
          <w:tcPr>
            <w:tcW w:w="72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Unamortized debt discount/premium and deferred financing costs,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Facilities:</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Revolver</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A</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B</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Senior Notes: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Unsecured Notes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outstanding</w:t>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of debt</w:t>
            </w:r>
            <w:r>
              <w:rPr>
                <w:rFonts w:ascii="Times New Roman;serif" w:hAnsi="Times New Roman;serif"/>
                <w:b w:val="false"/>
                <w:color w:val="000000"/>
                <w:sz w:val="13"/>
              </w:rPr>
              <w:t>(1)</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Fair value of our fixed rate and variable interest rate debt is classified within Level 2 in the fair value hierarchy and has been calculated based on the quoted market prices of our securities.</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LNWI Term Loan B Repricing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22, 2026, we amended the LNWI Credit Agreement and reduced the applicable margin on the LNWI Term Loan B. Following the amendment, the interest rate for the Term Loan B is either (i) the Adjusted Term SOFR Rate (as defined in the LNWI Credit Agreement) plus 2.00% per annum or (ii) a base rate plus 1.00% per annum.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the financial covenants under all debt agreements as of March 31, 2026 (for information regarding the financial covenants of all our debt agreements, see above and Note 14 in our 2025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terms of our credit facilities and Senior Notes, see Note 14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Derivative Financial Instruments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held the following derivative instruments that were accounted for pursuant to ASC 815:</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Swap Contracts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 contracts as described below to manage exposure to interest rate fluctuations by reducing the uncertainty of future cash flows on a portion of our variable rate debt.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March 31, 2026. These hedges mature in April 2027.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gain (loss) and interest income on our interest rate swap contracts:</w:t>
      </w:r>
    </w:p>
    <w:tbl>
      <w:tblPr>
        <w:tblW w:w="9764" w:type="dxa"/>
        <w:jc w:val="center"/>
        <w:tblInd w:w="0" w:type="dxa"/>
        <w:tblLayout w:type="fixed"/>
        <w:tblCellMar>
          <w:top w:w="28" w:type="dxa"/>
          <w:left w:w="28" w:type="dxa"/>
          <w:bottom w:w="28" w:type="dxa"/>
          <w:right w:w="28" w:type="dxa"/>
        </w:tblCellMar>
      </w:tblPr>
      <w:tblGrid>
        <w:gridCol w:w="2426"/>
        <w:gridCol w:w="2134"/>
        <w:gridCol w:w="2144"/>
        <w:gridCol w:w="350"/>
        <w:gridCol w:w="425"/>
        <w:gridCol w:w="181"/>
        <w:gridCol w:w="181"/>
        <w:gridCol w:w="181"/>
        <w:gridCol w:w="181"/>
        <w:gridCol w:w="350"/>
        <w:gridCol w:w="549"/>
        <w:gridCol w:w="181"/>
        <w:gridCol w:w="109"/>
        <w:gridCol w:w="109"/>
        <w:gridCol w:w="109"/>
        <w:gridCol w:w="154"/>
      </w:tblGrid>
      <w:tr>
        <w:trPr/>
        <w:tc>
          <w:tcPr>
            <w:tcW w:w="2426"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recorded in accumulated other comprehensive loss, net of tax</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related to interest rate swap contracts recorded in interest expense</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to reclassify material amounts from accumulated other comprehensive loss to interest expense in the next twelve months.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effect of interest rate swap contracts designated as cash flow hedges on interest expense in the consolidated statements of income:</w:t>
      </w:r>
    </w:p>
    <w:tbl>
      <w:tblPr>
        <w:tblW w:w="8635" w:type="dxa"/>
        <w:jc w:val="center"/>
        <w:tblInd w:w="0" w:type="dxa"/>
        <w:tblLayout w:type="fixed"/>
        <w:tblCellMar>
          <w:top w:w="28" w:type="dxa"/>
          <w:left w:w="28" w:type="dxa"/>
          <w:bottom w:w="28" w:type="dxa"/>
          <w:right w:w="28" w:type="dxa"/>
        </w:tblCellMar>
      </w:tblPr>
      <w:tblGrid>
        <w:gridCol w:w="2022"/>
        <w:gridCol w:w="1772"/>
        <w:gridCol w:w="1786"/>
        <w:gridCol w:w="296"/>
        <w:gridCol w:w="611"/>
        <w:gridCol w:w="152"/>
        <w:gridCol w:w="152"/>
        <w:gridCol w:w="152"/>
        <w:gridCol w:w="152"/>
        <w:gridCol w:w="296"/>
        <w:gridCol w:w="611"/>
        <w:gridCol w:w="152"/>
        <w:gridCol w:w="109"/>
        <w:gridCol w:w="109"/>
        <w:gridCol w:w="109"/>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which reflects the effects of cash flow hedges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Hedged item</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designated as hedging instrument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fair value of our hedges:</w:t>
      </w:r>
    </w:p>
    <w:tbl>
      <w:tblPr>
        <w:tblW w:w="7088" w:type="dxa"/>
        <w:jc w:val="center"/>
        <w:tblInd w:w="0" w:type="dxa"/>
        <w:tblLayout w:type="fixed"/>
        <w:tblCellMar>
          <w:top w:w="28" w:type="dxa"/>
          <w:left w:w="28" w:type="dxa"/>
          <w:bottom w:w="28" w:type="dxa"/>
          <w:right w:w="28" w:type="dxa"/>
        </w:tblCellMar>
      </w:tblPr>
      <w:tblGrid>
        <w:gridCol w:w="575"/>
        <w:gridCol w:w="505"/>
        <w:gridCol w:w="509"/>
        <w:gridCol w:w="654"/>
        <w:gridCol w:w="654"/>
        <w:gridCol w:w="657"/>
        <w:gridCol w:w="109"/>
        <w:gridCol w:w="109"/>
        <w:gridCol w:w="109"/>
        <w:gridCol w:w="471"/>
        <w:gridCol w:w="572"/>
        <w:gridCol w:w="247"/>
        <w:gridCol w:w="109"/>
        <w:gridCol w:w="109"/>
        <w:gridCol w:w="109"/>
        <w:gridCol w:w="540"/>
        <w:gridCol w:w="654"/>
        <w:gridCol w:w="396"/>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499"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Contingent Acquisition Consideration Liabilities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change in the contingent acquisition consideration liabilities (including deferred purchase price) for the period from December 31, 2025 to March 31, 2026.</w:t>
      </w:r>
    </w:p>
    <w:tbl>
      <w:tblPr>
        <w:tblW w:w="10205" w:type="dxa"/>
        <w:jc w:val="left"/>
        <w:tblInd w:w="0" w:type="dxa"/>
        <w:tblLayout w:type="fixed"/>
        <w:tblCellMar>
          <w:top w:w="28" w:type="dxa"/>
          <w:left w:w="28" w:type="dxa"/>
          <w:bottom w:w="28" w:type="dxa"/>
          <w:right w:w="28" w:type="dxa"/>
        </w:tblCellMar>
      </w:tblPr>
      <w:tblGrid>
        <w:gridCol w:w="1045"/>
        <w:gridCol w:w="918"/>
        <w:gridCol w:w="920"/>
        <w:gridCol w:w="293"/>
        <w:gridCol w:w="503"/>
        <w:gridCol w:w="151"/>
        <w:gridCol w:w="151"/>
        <w:gridCol w:w="151"/>
        <w:gridCol w:w="151"/>
        <w:gridCol w:w="871"/>
        <w:gridCol w:w="1058"/>
        <w:gridCol w:w="453"/>
        <w:gridCol w:w="151"/>
        <w:gridCol w:w="151"/>
        <w:gridCol w:w="151"/>
        <w:gridCol w:w="894"/>
        <w:gridCol w:w="1529"/>
        <w:gridCol w:w="664"/>
      </w:tblGrid>
      <w:tr>
        <w:trPr/>
        <w:tc>
          <w:tcPr>
            <w:tcW w:w="104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Included in Accrued Liabilities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Included in Other Long-Term Liabilities</w:t>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3087"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3087" w:type="dxa"/>
            <w:gridSpan w:val="3"/>
            <w:tcBorders/>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(1)</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7322" w:type="dxa"/>
            <w:gridSpan w:val="15"/>
            <w:tcBorders/>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extinguishment of $4 million in redeemable non-controlling interest liability associated with SciPlay’s acquisition of Alictus Yazilim Anonim Şirketi in 2022, as specified financial targets were not met. The gain was recorded in other income, net in our consolidated statements of operations.</w:t>
            </w:r>
          </w:p>
        </w:tc>
      </w:tr>
      <w:tr>
        <w:trPr/>
        <w:tc>
          <w:tcPr>
            <w:tcW w:w="2883" w:type="dxa"/>
            <w:gridSpan w:val="3"/>
            <w:tcBorders/>
            <w:vAlign w:val="center"/>
          </w:tcPr>
          <w:p>
            <w:pPr>
              <w:pStyle w:val="TableContents"/>
              <w:bidi w:val="0"/>
              <w:spacing w:before="0" w:after="283"/>
              <w:jc w:val="left"/>
              <w:rPr>
                <w:sz w:val="4"/>
                <w:szCs w:val="4"/>
              </w:rPr>
            </w:pPr>
            <w:r>
              <w:rPr>
                <w:sz w:val="4"/>
                <w:szCs w:val="4"/>
              </w:rPr>
            </w:r>
          </w:p>
        </w:tc>
        <w:tc>
          <w:tcPr>
            <w:tcW w:w="7322" w:type="dxa"/>
            <w:gridSpan w:val="1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Changes in Stockholders’ Equity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certain information regarding our stockholders’ equity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988"/>
        <w:gridCol w:w="435"/>
        <w:gridCol w:w="436"/>
        <w:gridCol w:w="328"/>
        <w:gridCol w:w="399"/>
        <w:gridCol w:w="171"/>
        <w:gridCol w:w="109"/>
        <w:gridCol w:w="109"/>
        <w:gridCol w:w="109"/>
        <w:gridCol w:w="252"/>
        <w:gridCol w:w="737"/>
        <w:gridCol w:w="130"/>
        <w:gridCol w:w="109"/>
        <w:gridCol w:w="109"/>
        <w:gridCol w:w="109"/>
        <w:gridCol w:w="232"/>
        <w:gridCol w:w="677"/>
        <w:gridCol w:w="119"/>
        <w:gridCol w:w="109"/>
        <w:gridCol w:w="109"/>
        <w:gridCol w:w="109"/>
        <w:gridCol w:w="219"/>
        <w:gridCol w:w="669"/>
        <w:gridCol w:w="113"/>
        <w:gridCol w:w="109"/>
        <w:gridCol w:w="109"/>
        <w:gridCol w:w="109"/>
        <w:gridCol w:w="423"/>
        <w:gridCol w:w="965"/>
        <w:gridCol w:w="219"/>
        <w:gridCol w:w="109"/>
        <w:gridCol w:w="109"/>
        <w:gridCol w:w="109"/>
        <w:gridCol w:w="109"/>
        <w:gridCol w:w="109"/>
        <w:gridCol w:w="211"/>
        <w:gridCol w:w="466"/>
        <w:gridCol w:w="163"/>
      </w:tblGrid>
      <w:tr>
        <w:trPr/>
        <w:tc>
          <w:tcPr>
            <w:tcW w:w="98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9"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167" w:type="dxa"/>
            <w:gridSpan w:val="6"/>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1, 2026</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liability awards</w:t>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withholdings and other</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treasury stock upon retirement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346" w:type="dxa"/>
            <w:gridSpan w:val="35"/>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27"/>
        <w:gridCol w:w="442"/>
        <w:gridCol w:w="443"/>
        <w:gridCol w:w="330"/>
        <w:gridCol w:w="401"/>
        <w:gridCol w:w="171"/>
        <w:gridCol w:w="109"/>
        <w:gridCol w:w="109"/>
        <w:gridCol w:w="109"/>
        <w:gridCol w:w="255"/>
        <w:gridCol w:w="745"/>
        <w:gridCol w:w="131"/>
        <w:gridCol w:w="109"/>
        <w:gridCol w:w="109"/>
        <w:gridCol w:w="109"/>
        <w:gridCol w:w="233"/>
        <w:gridCol w:w="681"/>
        <w:gridCol w:w="120"/>
        <w:gridCol w:w="109"/>
        <w:gridCol w:w="109"/>
        <w:gridCol w:w="109"/>
        <w:gridCol w:w="220"/>
        <w:gridCol w:w="672"/>
        <w:gridCol w:w="113"/>
        <w:gridCol w:w="109"/>
        <w:gridCol w:w="109"/>
        <w:gridCol w:w="109"/>
        <w:gridCol w:w="428"/>
        <w:gridCol w:w="977"/>
        <w:gridCol w:w="221"/>
        <w:gridCol w:w="109"/>
        <w:gridCol w:w="109"/>
        <w:gridCol w:w="109"/>
        <w:gridCol w:w="109"/>
        <w:gridCol w:w="109"/>
        <w:gridCol w:w="211"/>
        <w:gridCol w:w="466"/>
        <w:gridCol w:w="165"/>
      </w:tblGrid>
      <w:tr>
        <w:trPr/>
        <w:tc>
          <w:tcPr>
            <w:tcW w:w="92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951" w:type="dxa"/>
            <w:gridSpan w:val="4"/>
            <w:tcBorders/>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1, 2025</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liability awards</w:t>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 and other</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treasury stock</w:t>
            </w:r>
            <w:r>
              <w:rPr>
                <w:rFonts w:ascii="Times New Roman;serif" w:hAnsi="Times New Roman;serif"/>
                <w:b w:val="false"/>
                <w:color w:val="000000"/>
                <w:sz w:val="13"/>
              </w:rPr>
              <w:t>(1)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2025</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4" w:type="dxa"/>
            <w:gridSpan w:val="3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excise taxes of $1 million for the three months ended March 31, 2025.</w:t>
            </w:r>
          </w:p>
        </w:tc>
        <w:tc>
          <w:tcPr>
            <w:tcW w:w="951" w:type="dxa"/>
            <w:gridSpan w:val="4"/>
            <w:tcBorders/>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we recognized $32 million and $27 million, respectively, in total stock-based compensation expense under all programs. These amounts included $15 million and $9 million, respectively, of stock-based compensation classified as liability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RSUs outstanding under our equity-based compensation plans during the three months ended March 31, 2026 is presented below:</w:t>
      </w:r>
    </w:p>
    <w:tbl>
      <w:tblPr>
        <w:tblW w:w="9791" w:type="dxa"/>
        <w:jc w:val="center"/>
        <w:tblInd w:w="0" w:type="dxa"/>
        <w:tblLayout w:type="fixed"/>
        <w:tblCellMar>
          <w:top w:w="28" w:type="dxa"/>
          <w:left w:w="28" w:type="dxa"/>
          <w:bottom w:w="28" w:type="dxa"/>
          <w:right w:w="28" w:type="dxa"/>
        </w:tblCellMar>
      </w:tblPr>
      <w:tblGrid>
        <w:gridCol w:w="1239"/>
        <w:gridCol w:w="1089"/>
        <w:gridCol w:w="1092"/>
        <w:gridCol w:w="904"/>
        <w:gridCol w:w="904"/>
        <w:gridCol w:w="907"/>
        <w:gridCol w:w="109"/>
        <w:gridCol w:w="109"/>
        <w:gridCol w:w="109"/>
        <w:gridCol w:w="716"/>
        <w:gridCol w:w="2091"/>
        <w:gridCol w:w="522"/>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December 31, 2025</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March 31, 2026</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96.70 </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371" w:type="dxa"/>
            <w:gridSpan w:val="9"/>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37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RSUs granted during the three months ended March 31, 2026 and 2025 was $90.75 and $106.48, respectively. The fair value of each RSU grant is based on the market value of our common stock at the time of grant. As of March 31, 2026, we had $131 million of unrecognized stock-based compensation expense relating to unvested RSUs that is expected to be recognized over a weighted-average vesting period of approximately 1.7 years. The fair value at vesting date of RSUs vested during the three months ended March 31, 2026 and 2025 was $110 million for both periods.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11, 2024, our Board of Directors (the “Board”) approved a share repurchase program, as amended on July 31, 2025, under which the Company is authorized to repurchase, from time to time through June 12, 2027, up to an aggregate amount of $1.5 billion of shares of outstanding common stock or CDIs. Repurchases under the share repurchase program may be effected at the discretion of the Transaction Committee of the Board through one or more open market repurchases, privately negotiated transactions, including block trades, accelerated share repurchases, issuer tender offers or other derivative contracts or instruments, “10b5-1” plan, or other financial or other arrangements, or a combination of the foregoing. The share repurchase program may be suspended or discontinued at any time.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approximately 0.2 million CDIs under the repurchase program at an aggregate cost of $22 million (including excise tax). On February 19, 2026, we retired all existing treasury shares and restored such shares to the status of authorized but unissued shares in accordance with the Nevada Revised Statutes.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with the prior year as of March 31, 2026.</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expense (including discrete items) was $10 million and $23 million for the three months ended March 31, 2026 and 2025, respectively. For the three months ended March 31, 2026, our effective tax rate differed from the U.S. statutory rate of 21%, primarily as a result of foreign earnings and the impact of worldwide tax rates on foreign earnings, along with a reduction in foreign withholding taxes. In all periods, we recorded tax expense relative to pre-tax earnings in jurisdictions without valuation allowances.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(14) Leases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operating lease expense for the three months ended March 31, 2026 and 2025 was $7 million and $6 million, respectively. The total amount of variable and short-term lease payments was immaterial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and cash flow information related to operating leases is as follows:</w:t>
      </w:r>
    </w:p>
    <w:tbl>
      <w:tblPr>
        <w:tblW w:w="7030" w:type="dxa"/>
        <w:jc w:val="left"/>
        <w:tblInd w:w="0" w:type="dxa"/>
        <w:tblLayout w:type="fixed"/>
        <w:tblCellMar>
          <w:top w:w="28" w:type="dxa"/>
          <w:left w:w="28" w:type="dxa"/>
          <w:bottom w:w="28" w:type="dxa"/>
          <w:right w:w="28" w:type="dxa"/>
        </w:tblCellMar>
      </w:tblPr>
      <w:tblGrid>
        <w:gridCol w:w="1385"/>
        <w:gridCol w:w="1216"/>
        <w:gridCol w:w="1223"/>
        <w:gridCol w:w="323"/>
        <w:gridCol w:w="552"/>
        <w:gridCol w:w="415"/>
        <w:gridCol w:w="109"/>
        <w:gridCol w:w="109"/>
        <w:gridCol w:w="109"/>
        <w:gridCol w:w="376"/>
        <w:gridCol w:w="646"/>
        <w:gridCol w:w="567"/>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tbl>
      <w:tblPr>
        <w:tblW w:w="8703" w:type="dxa"/>
        <w:jc w:val="left"/>
        <w:tblInd w:w="0" w:type="dxa"/>
        <w:tblLayout w:type="fixed"/>
        <w:tblCellMar>
          <w:top w:w="28" w:type="dxa"/>
          <w:left w:w="28" w:type="dxa"/>
          <w:bottom w:w="28" w:type="dxa"/>
          <w:right w:w="28" w:type="dxa"/>
        </w:tblCellMar>
      </w:tblPr>
      <w:tblGrid>
        <w:gridCol w:w="2126"/>
        <w:gridCol w:w="1864"/>
        <w:gridCol w:w="1874"/>
        <w:gridCol w:w="334"/>
        <w:gridCol w:w="405"/>
        <w:gridCol w:w="172"/>
        <w:gridCol w:w="172"/>
        <w:gridCol w:w="172"/>
        <w:gridCol w:w="172"/>
        <w:gridCol w:w="334"/>
        <w:gridCol w:w="643"/>
        <w:gridCol w:w="172"/>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liability maturities:</w:t>
      </w:r>
    </w:p>
    <w:tbl>
      <w:tblPr>
        <w:tblW w:w="10205" w:type="dxa"/>
        <w:jc w:val="center"/>
        <w:tblInd w:w="0" w:type="dxa"/>
        <w:tblLayout w:type="fixed"/>
        <w:tblCellMar>
          <w:top w:w="28" w:type="dxa"/>
          <w:left w:w="28" w:type="dxa"/>
          <w:bottom w:w="28" w:type="dxa"/>
          <w:right w:w="28" w:type="dxa"/>
        </w:tblCellMar>
      </w:tblPr>
      <w:tblGrid>
        <w:gridCol w:w="432"/>
        <w:gridCol w:w="379"/>
        <w:gridCol w:w="382"/>
        <w:gridCol w:w="390"/>
        <w:gridCol w:w="668"/>
        <w:gridCol w:w="203"/>
        <w:gridCol w:w="109"/>
        <w:gridCol w:w="109"/>
        <w:gridCol w:w="109"/>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211"/>
        <w:gridCol w:w="256"/>
        <w:gridCol w:w="109"/>
        <w:gridCol w:w="109"/>
        <w:gridCol w:w="109"/>
        <w:gridCol w:w="109"/>
        <w:gridCol w:w="335"/>
        <w:gridCol w:w="407"/>
        <w:gridCol w:w="174"/>
        <w:gridCol w:w="109"/>
        <w:gridCol w:w="109"/>
        <w:gridCol w:w="109"/>
        <w:gridCol w:w="463"/>
        <w:gridCol w:w="596"/>
        <w:gridCol w:w="241"/>
        <w:gridCol w:w="109"/>
        <w:gridCol w:w="109"/>
        <w:gridCol w:w="109"/>
        <w:gridCol w:w="211"/>
        <w:gridCol w:w="361"/>
        <w:gridCol w:w="160"/>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did not have material additional operating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(15)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$55 million and $144 million for all of our legal matters that were contingencies as of March 31, 2026 and December 31, 2025, respectively.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$14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significant issues, or the behavior and incentives of adverse parties, regulators, indemnitors or co</w:t>
        <w:noBreakHyphen/>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Colombia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Colombian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 On November 7, 2024, LNWI was notified that, by means of a decision dated August 8, 2024, the full Chamber of the Colombian Constitutional Court denied LNWI’s motion filed on April 30, 2024. The matter has been remanded to the Tribunal for further proceedings, and on April 30, 2025, the Tribunal issued an order directing the parties to comply with the December 10, 2020 decision of the Council of State. The matter remains pending before the Tribunal.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SNAI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2012, SNAI filed a lawsuit in the Court of First Instance of Rome in Italy against Barcrest and The Global Draw Limited, our subsidiary which acquired Barcrest from IGT</w:t>
        <w:noBreakHyphen/>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To date, we have paid €9.4 million to SNAI pursuant to our indemnification obligations.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 re Automatic Card Shufflers Litigation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defendants filed a motion for summary judgment, and plaintiffs filed a motion for partial summary judgment and a motion for class certification. On May 8, 2025, the court held a hearing on the pending motions for summary judgment. On March 31, 2026, the court granted in part and denied in part defendants’ motion for summary judgment; denied plaintiffs’ motion for partial summary judgment; and granted plaintiffs’ motion for class certification. Due to the complexity of the plaintiffs’ claims, and the unpredictability of the outcome of the proceedings in the district court, or any appeal therefrom, we are unable at this time to estimate a range of reasonably possible losses, or any amount within such a range, above the amount we have recorded for this matter, which is the minimum amount of reasonably possible loss. We believe that the claims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Mohawk Gaming Enterprises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December 1, 2023. On February 16, 2024, the respondents filed a motion for summary judgment. Also on February 16, 2024, claimant filed a motion for partial summary judgment and a motion for class certification. On December 9, 2024, the Arbitrator denied the motions for summary judgment and issued a class determination award, certifying a class. On January 9, 2025, Respondents filed a petition to vacate the award in New York Supreme Court. The Court denied Respondents’ petition and granted Claimant’s cross-petition to confirm the award on July 2, 2025, and on July 7, 2025, Respondents appealed to the New York Appellate Division, First Department. On November 14, 2025, the Arbitrator entered a scheduling order setting the evidentiary hearing in this matter for April 15 to 30 and May 6 to 13, 2026. On March 19, 2026, the Arbitrator entered an order postponing the evidentiary hearing pending future developments relating to Respondents’ pending appeal of the Arbitrator’s class determination award. Due to the complexity of the plaintiffs’ claims, and the unpredictability of the outcome of the proceedings before the Arbitrator, or any appeal therefrom, we are unable at this time to estimate a range of reasonably possible losses, or any amount within such a range, above the amount we have recorded for this matter, which is the minimum amount of reasonably possible loss. We believe that the claims in the arbitration demand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 Guzman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2026, plaintiff Mark De Guzman filed a putative class action complaint against Sciplay Corporation and SciPlay Games, LLC in the United States District Court for the Northern District of California. The complaint asserts claims for alleged violations under California’s Unfair Competition Law, California’s Consumer Legal Remedies Act, and California’s Penal Code, and for unjust enrichment. The plaintiff seeks to represent a putative class of California residents who spent money playing SciPlay’s online social casino games during the four years preceding the filing of plaintiff’s complaint. Plaintiff’s complaint seeks an order certifying the proposed class, and further seeks unspecified money damages, rescission, restitution, declaratory relief, and injunctive relief, the award of interest, expenses, costs, and plaintiff’s reasonable attorney’s fees, and unspecified other equitable relief. On March 23, 2026, defendants filed a motion to compel arbitration of plaintiff’s claims and to stay plaintiff’s lawsuit pending resolution of the arbitration. On April 23, 2026, the district court granted defendants’ motion to compel arbitration of plaintiff’s claims, and stayed and administratively closed plaintiff’s lawsuit pending resolution of the arbitration proceedings. We are currently unable to determine the likelihood of an outcome or estimate a range of possible losses, if any. We believe that the claims in the complaint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Herman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15, 2026, plaintiff Sean Herman filed a putative class action complaint against SciPlay Corporation and SciPlay Games, LLC in the United States District Court for the Western District of Washington. The complaint asserts claims for alleged violations of Washington State’s anti-gambling statutes and Washington State’s Consumer Protection Act. The plaintiff seeks to represent a putative class of Washington State residents who spent money playing SciPlay’s online social casino games during the three years preceding the filing of plaintiff’s complaint. Plaintiff’s complaint seeks an order certifying the proposed class, and further seeks unspecified money damages, rescission, restitution, declaratory relief, and injunctive relief, the award of interest, expenses, costs, and plaintiff’s reasonable attorneys’ fees, and unspecified other equitable relief. On March 30, 2026, defendants filed a motion to compel arbitration of plaintiff’s claims and to stay plaintiff’s lawsuit pending resolution of the arbitration. On April 29, 2026, plaintiff filed a Notice of Non-Opposition to defendants’ motion to compel arbitration, stating that plaintiff agrees the case should be stayed while the parties arbitrate their dispute. We are currently unable to determine the likelihood of an outcome or estimate a range of reasonably possible losses, if any. We believe that the claims in the complaint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Aristocrat Matter (United States)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On February 26, 2024, Aristocrat Technologies, Inc. and Aristocrat Technologies Australia Pty Limited brought a civil action in the United States District Court for the District of Nevada against L&amp;W, LNW Gaming, Inc. and SciPlay Corporation. Plaintiffs assert claims for trade secret misappropriation, copyright infringement, trade dress infringement and unfair competition, and deceptive trade practices, relating to defendants’ </w:t>
      </w:r>
      <w:r>
        <w:rPr>
          <w:rFonts w:ascii="Times New Roman;serif" w:hAnsi="Times New Roman;serif"/>
          <w:b w:val="false"/>
          <w:i/>
          <w:color w:val="000000"/>
          <w:sz w:val="20"/>
        </w:rPr>
        <w:t>DRAGON TRAIN</w:t>
      </w:r>
      <w:r>
        <w:rPr>
          <w:rFonts w:ascii="Times New Roman;serif" w:hAnsi="Times New Roman;serif"/>
          <w:b w:val="false"/>
          <w:i/>
          <w:color w:val="000000"/>
          <w:sz w:val="13"/>
        </w:rPr>
        <w:t>TM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JEWEL OF THE DRAGON® </w:t>
      </w:r>
      <w:r>
        <w:rPr>
          <w:rFonts w:ascii="Times New Roman;serif" w:hAnsi="Times New Roman;serif"/>
          <w:b w:val="false"/>
          <w:color w:val="000000"/>
          <w:sz w:val="20"/>
        </w:rPr>
        <w:t xml:space="preserve">games. Plaintiffs’ operative complaint sought preliminary and permanent injunctive relief, unspecified damages, the award of reasonable attorneys’ fees and costs, pre-judgment and post-judgment interest, and declaratory relief. Simultaneously with the filing of the complaint on February 26, 2024, the plaintiffs filed a motion to expedite discovery, which the court granted in part and denied in part on March 26, 2024. On April 9, 2024, defendants filed a motion to dismiss plaintiffs’ complaint, which the court granted in part and denied in part on June 24, 2024. On May 22, 2024, the plaintiffs filed a motion for a preliminary injunction, which the district court granted on September 23, 2024. On July 15, 2024, the plaintiffs filed a First Amended Complaint, which defendants answered on August 12, 2024. On November 21, 2024, the plaintiffs filed a motion to enforce the district court’s preliminary injunction, which the court denied on January 3, 2025. On March 14, 2025, the plaintiffs filed a Second Amended Complaint, which defendants answered on April 11, 2025. On July 15, 2025, the plaintiffs filed a motion to extend the current pretrial deadlines, which the court granted on October 2, 2025. On July 17, 2025, the parties jointly filed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proposed stipulated order regarding the court’s preliminary injunction entered in September 2024. On October 17, 2025, the court granted plaintiffs’ renewed motion to obtain discovery of math models for certain Light &amp; Wonder hold and spin games released since 2021. On December 11, 2025, the parties filed a stipulated motion to extend the current pretrial deadlines, which the court granted on December 16, 2025. On January 12, 2026, the parties jointly filed a motion to stay the action until March 12, 2026, in view of a settlement reached by the parties. On January 12, 2026, the court entered an order directing the parties to file, by March 12, 2026, either documents to dismiss the action or a joint status report informing the court of the status of the settlement. On February 20, 2026, the parties jointly filed a stipulation to vacate the district court’s preliminary injunction and to dismiss the action. On February 27, 2026, the court granted the parties’ request: it vacated the preliminary injunction, dismissed the action, and closed the case.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Aristocrat Matter (Australia)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4, 2024, Aristocrat Technologies Australia Pty Limited brought a civil action in the Federal Court of Australia against L&amp;W and LNW Gaming ANZ Pty Ltd., among other defendants. Plaintiff asserts claims for breach of confidence, breach of contract (against other defendants) and inducing breach of contract, breaches of the Australian Consumer Law, and copyright infringement relating to defendants’ Dragon Train games, and breach of confidence relating to defendants’ Jewel of the Dragon games. Plaintiff’s complaint sought preliminary and permanent injunctive relief, unspecified damages or an account of profits, and the award of costs. On October 4, 2024, the plaintiff filed a motion for an interlocutory injunction, which it amended on November 12, 2024. On February 3, 2025, L&amp;W and LNW Gaming ANZ Pty Ltd. filed a defense to plaintiff’s complaint. On February 6, 2025, the court denied plaintiff’s motion for interlocutory injunction. On May 26, 2025, the plaintiff filed an amended complaint, and on June 3, 2025, L&amp;W and LNW Gaming ANZ Pty Ltd. filed a defense to plaintiff’s amended complaint. On July 7, 2025, the court entered an order directing that evidence in the proceeding is to be heard by the court in two tranches, with final orders being made after a hearing on the second tranche of evidence. The trial relating to the first tranche of evidence is provisionally scheduled for June 29, 2026 through July 17, 2026. On January 12, 2026, the plaintiff, L&amp;W and LNW Gaming ANZ Pty Ltd. jointly notified the court that they had reached a settlement between them. Under the terms of the agreement, Light &amp; Wonder consented to an approximately $128 million payment to conclude the matters at issue, and the plaintiff, L&amp;W and LNW Gaming ANZ Pty Ltd. promised to provide further updates relating to the settlement on or before March 11, 2026. On March 11, 2026, the court entered an order vacating all cost orders as between Aristocrat and L&amp;W and LNW Gaming ANZ Pty Ltd., and dismissing plaintiff’s claims against L&amp;W and LNW Gaming ANZ Pty. Ltd.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Evolution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28, 2024, Evolution Malta Limited, Evolution Gaming Malta Limited, and SIA Evolution Latvia brought a civil action in the United States District Court for the District of Nevada against L&amp;W and LNW Gaming, Inc. Plaintiffs assert claims for patent infringement and trade secret misappropriation relating to defendants’ ROULETTEX® and POWERX® games and defendants’ 88 Fortunes Blaze Live Roulette game. Plaintiffs’ complaint seeks preliminary and permanent injunctive relief, unspecified damages, the award of attorneys’ fees and costs, interest, and declaratory relief. On July 24, 2024, defendants filed a motion to dismiss plaintiffs’ complaint, which the court granted as to plaintiffs’ claims for patent infringement on February 11, 2025. On August 16, 2024, defendants filed a motion to stay discovery, which the court denied on November 7, 2024. On February 7, 2025, defendants filed a motion to compel arbitration of plaintiffs’ claims for trade secret misappropriation, or, in the alternative, to dismiss the claims. On September 30, 2025, the court granted defendants’ motion to compel arbitration of plaintiffs’ claims for trade secret misappropriation and stayed those claims. On April 10, 2025, Plaintiffs filed a First Amended Complaint and on May 15, 2025, defendants filed a motion to dismiss that First Amended Complaint, which the court denied as moot on September 30, 2025. Also on April 10, 2025, Plaintiffs filed a motion for leave to file a Second Amended Complaint, which the court granted on June 30, 2025. Plaintiffs filed their Second Amended Complaint on June 30, 2025, and defendants filed a motion to dismiss the claims for patent infringement in that complaint on August 8, 2025. Also on August 8, 2025, the parties filed a joint stipulation to stay all discovery until and through January 16, 2026, which the court granted on August 11, 2025. On February 2, 2026, defendants filed a motion to stay all discovery pending the court’s ruling on defendants’ motion to dismiss plaintiffs’ Second Amended Complaint, and the resolution of pending Inter Partes Review proceedings involving the majority of the patents asserted in the action, which the court denied as moot on March 31, 2026. On February 3, 2026, the court entered a scheduling order setting certain pretrial deadlines, including a fact discovery deadline of October 27, 2026. On March 30, 2026, the court granted defendants’ motion to dismiss the claims for patent infringement. We are currently unable to determine the likelihood of an outcome or estimate a range of reasonably possible losses, if any. We believe that the claims in the dispute are without merit and intend to vigorously defend against them.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12, 2025, Evolution Malta Limited, Evolution Gaming Malta Limited, and SIA Evolution Latvia filed a request for arbitration directed against L&amp;W and LNW Gaming, Inc. with the International Court of Arbitration of the International Chamber of Commerce (“ICC”). Claimants’ request for arbitration asserts those claims for trade secret misappropriation that the Nevada court, in its order of September 30, 2025, directed be arbitrated. On February 2,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respondents filed an answer to claimants’ request for arbitration. On February 27, 2026, the ICC confirmed the constitution of an Arbitral Tribunal over claimants’ claims, consisting of three arbitrators. We are currently unable to determine the likelihood of an outcome or estimate a range of reasonably possible losses, if any. We believe that the claims in the dispute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AztecGold Holdings Pty Ltd. Matter (Australia)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22, 2026, AztecGold Holdings Pty Ltd. brought a shareholder class action in the Commercial Court of the Supreme Court of Victoria, Australia against L&amp;W. Plaintiff asserts claims for breaches of the Australian Corporations Act, the Australian Securities and Investment Commission Act 2001, and the Australian Consumer Law, relating to representations provided by L&amp;W regarding its Dragon Train game. The lawsuit is brought on behalf of shareholders who acquired an interest in Light &amp; Wonder CHESS Depositary Interests (CDIs) between May 22, 2023 and September 24, 2024. Plaintiff’s complaint seeks declaratory relief, unspecified damages, and the award of interest and costs. L&amp;W’s responsive pleading to Plaintiff’s lawsuit is not yet due. We are currently unable to determine the likelihood of an outcome or estimate a range of reasonably possible losses, if any. We believe that the Plaintiff’s claims are without merit and intend to vigorously defend against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Item 1 </w:t>
      </w:r>
      <w:r>
        <w:rPr>
          <w:color w:val="000000"/>
        </w:rPr>
        <w:t>“</w:t>
      </w:r>
      <w:r>
        <w:rPr>
          <w:rFonts w:ascii="Times New Roman;serif" w:hAnsi="Times New Roman;serif"/>
          <w:b w:val="false"/>
          <w:color w:val="000000"/>
          <w:sz w:val="20"/>
        </w:rPr>
        <w:t>Condensed Consolidated Financial Statements” and</w:t>
      </w:r>
      <w:r>
        <w:rPr>
          <w:color w:val="000000"/>
        </w:rPr>
        <w:t xml:space="preserve">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 xml:space="preserve">Risk Factors” in this Quarterly Report on Form 10-Q and under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Item 1 </w:t>
      </w:r>
      <w:r>
        <w:rPr>
          <w:color w:val="000000"/>
        </w:rPr>
        <w:t>“</w:t>
      </w:r>
      <w:r>
        <w:rPr>
          <w:rFonts w:ascii="Times New Roman;serif" w:hAnsi="Times New Roman;serif"/>
          <w:b w:val="false"/>
          <w:color w:val="000000"/>
          <w:sz w:val="20"/>
        </w:rPr>
        <w:t>Business,”</w:t>
      </w:r>
      <w:r>
        <w:rPr>
          <w:color w:val="000000"/>
        </w:rPr>
        <w:t xml:space="preserve">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 xml:space="preserve">Risk Factors” and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included in our 2025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2025 10-K. As used in this MD&amp;A, the terms “we,” “us,” “our” and the “Company” mean L&amp;W together with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As more fully described in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w:t>
      </w:r>
      <w:r>
        <w:rPr>
          <w:color w:val="000000"/>
        </w:rPr>
        <w:t xml:space="preserve"> “</w:t>
      </w:r>
      <w:r>
        <w:rPr>
          <w:rFonts w:ascii="Times New Roman;serif" w:hAnsi="Times New Roman;serif"/>
          <w:b w:val="false"/>
          <w:color w:val="000000"/>
          <w:sz w:val="20"/>
        </w:rPr>
        <w:t>Business” in our 2025 10-K, we are executing on our strategy to become a leading cross-platform global games company with a focus on content and digital markets. We report our results of operations in three reportable business segments—Gaming, SciPlay and iGaming—representing our different products and services. See “Business Segments Results” below and Note 3 for additional reportable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CONSOLIDATED RESULTS</w:t>
      </w:r>
    </w:p>
    <w:tbl>
      <w:tblPr>
        <w:tblW w:w="9669" w:type="dxa"/>
        <w:jc w:val="center"/>
        <w:tblInd w:w="0" w:type="dxa"/>
        <w:tblLayout w:type="fixed"/>
        <w:tblCellMar>
          <w:top w:w="28" w:type="dxa"/>
          <w:left w:w="28" w:type="dxa"/>
          <w:bottom w:w="28" w:type="dxa"/>
          <w:right w:w="28" w:type="dxa"/>
        </w:tblCellMar>
      </w:tblPr>
      <w:tblGrid>
        <w:gridCol w:w="982"/>
        <w:gridCol w:w="862"/>
        <w:gridCol w:w="871"/>
        <w:gridCol w:w="286"/>
        <w:gridCol w:w="633"/>
        <w:gridCol w:w="148"/>
        <w:gridCol w:w="148"/>
        <w:gridCol w:w="148"/>
        <w:gridCol w:w="148"/>
        <w:gridCol w:w="286"/>
        <w:gridCol w:w="633"/>
        <w:gridCol w:w="148"/>
        <w:gridCol w:w="109"/>
        <w:gridCol w:w="109"/>
        <w:gridCol w:w="109"/>
        <w:gridCol w:w="211"/>
        <w:gridCol w:w="361"/>
        <w:gridCol w:w="109"/>
        <w:gridCol w:w="109"/>
        <w:gridCol w:w="109"/>
        <w:gridCol w:w="109"/>
        <w:gridCol w:w="218"/>
        <w:gridCol w:w="218"/>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6954" w:type="dxa"/>
            <w:gridSpan w:val="42"/>
            <w:tcBorders/>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5030" w:type="dxa"/>
        <w:jc w:val="center"/>
        <w:tblInd w:w="0" w:type="dxa"/>
        <w:tblLayout w:type="fixed"/>
        <w:tblCellMar>
          <w:top w:w="28" w:type="dxa"/>
          <w:left w:w="28" w:type="dxa"/>
          <w:bottom w:w="28" w:type="dxa"/>
          <w:right w:w="28" w:type="dxa"/>
        </w:tblCellMar>
      </w:tblPr>
      <w:tblGrid>
        <w:gridCol w:w="592"/>
        <w:gridCol w:w="519"/>
        <w:gridCol w:w="519"/>
        <w:gridCol w:w="519"/>
        <w:gridCol w:w="519"/>
        <w:gridCol w:w="519"/>
        <w:gridCol w:w="519"/>
        <w:gridCol w:w="519"/>
        <w:gridCol w:w="542"/>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Revenue by Reportable Business Segment</w:t>
            </w:r>
          </w:p>
        </w:tc>
        <w:tc>
          <w:tcPr>
            <w:tcW w:w="263" w:type="dxa"/>
            <w:gridSpan w:val="2"/>
            <w:tcBorders/>
          </w:tcPr>
          <w:p>
            <w:pPr>
              <w:pStyle w:val="TableContents"/>
              <w:bidi w:val="0"/>
              <w:spacing w:before="0" w:after="283"/>
              <w:jc w:val="left"/>
              <w:rPr>
                <w:sz w:val="4"/>
                <w:szCs w:val="4"/>
              </w:rPr>
            </w:pPr>
            <w:r>
              <w:rPr>
                <w:sz w:val="4"/>
                <w:szCs w:val="4"/>
              </w:rPr>
            </w:r>
          </w:p>
        </w:tc>
      </w:tr>
      <w:tr>
        <w:trPr/>
        <w:tc>
          <w:tcPr>
            <w:tcW w:w="4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7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 and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drawing>
          <wp:inline distT="0" distB="0" distL="0" distR="0">
            <wp:extent cx="5848350" cy="2647950"/>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5848350" cy="2647950"/>
                    </a:xfrm>
                    <a:prstGeom prst="rect">
                      <a:avLst/>
                    </a:prstGeom>
                  </pic:spPr>
                </pic:pic>
              </a:graphicData>
            </a:graphic>
          </wp:inline>
        </w:drawing>
      </w:r>
      <w:bookmarkStart w:id="1" w:name="i-2"/>
      <w:bookmarkEnd w:id="1"/>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revenue increased 3% for the three months ended March 31, 2026, as compared to the prior year period. Revenue growth was primarily driven by higher Gaming operations revenue of $23 million, supported by our diversified portfolio of high-performing game franchises, along with $43 million in revenue from Grover, and $12 million in Table Products growth. This was partially offset by a decrease in Gaming machine sales of $52 million as the prior year period benefited from the timing of international and North America VLT shipments, and a decrease in Gaming systems revenue of $9 million, primarily due to lower hardware sales as compared to the prior year period.</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revenue decreased 7% for the three months ended March 31, 2026, as compared to the prior year period, due to a decline in average monthly payers primarily attributable to </w:t>
      </w:r>
      <w:r>
        <w:rPr>
          <w:rFonts w:ascii="Times New Roman;serif" w:hAnsi="Times New Roman;serif"/>
          <w:b w:val="false"/>
          <w:i/>
          <w:color w:val="000000"/>
          <w:sz w:val="20"/>
        </w:rPr>
        <w:t>JACKPOT PARTY</w:t>
      </w:r>
      <w:r>
        <w:rPr>
          <w:rFonts w:ascii="Times New Roman;serif" w:hAnsi="Times New Roman;serif"/>
          <w:b w:val="false"/>
          <w:i/>
          <w:color w:val="000000"/>
          <w:sz w:val="13"/>
        </w:rPr>
        <w:t xml:space="preserve">® </w:t>
      </w:r>
      <w:r>
        <w:rPr>
          <w:rFonts w:ascii="Times New Roman;serif" w:hAnsi="Times New Roman;serif"/>
          <w:b w:val="false"/>
          <w:color w:val="000000"/>
          <w:sz w:val="20"/>
        </w:rPr>
        <w:t>Casino, partially offset by an increase in average monthly revenue per paying user, which increased 8%. Revenue generated via the proprietary direct-to-consumer platform continues to increase and represented approximately 27% of total SciPlay revenue for the three months ended March 31, 2026.</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iGaming revenue increased 18% for the three months ended March 31, 2026, driven primarily by continued momentum in the North American markets underpinned by first-party content (“1PP”) proliferation and the expansion of our partner network.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7727" w:type="dxa"/>
        <w:jc w:val="center"/>
        <w:tblInd w:w="0" w:type="dxa"/>
        <w:tblLayout w:type="fixed"/>
        <w:tblCellMar>
          <w:top w:w="28" w:type="dxa"/>
          <w:left w:w="28" w:type="dxa"/>
          <w:bottom w:w="28" w:type="dxa"/>
          <w:right w:w="28" w:type="dxa"/>
        </w:tblCellMar>
      </w:tblPr>
      <w:tblGrid>
        <w:gridCol w:w="781"/>
        <w:gridCol w:w="686"/>
        <w:gridCol w:w="693"/>
        <w:gridCol w:w="286"/>
        <w:gridCol w:w="633"/>
        <w:gridCol w:w="148"/>
        <w:gridCol w:w="148"/>
        <w:gridCol w:w="148"/>
        <w:gridCol w:w="148"/>
        <w:gridCol w:w="286"/>
        <w:gridCol w:w="633"/>
        <w:gridCol w:w="148"/>
        <w:gridCol w:w="109"/>
        <w:gridCol w:w="109"/>
        <w:gridCol w:w="109"/>
        <w:gridCol w:w="211"/>
        <w:gridCol w:w="361"/>
        <w:gridCol w:w="109"/>
        <w:gridCol w:w="109"/>
        <w:gridCol w:w="109"/>
        <w:gridCol w:w="109"/>
        <w:gridCol w:w="231"/>
        <w:gridCol w:w="235"/>
        <w:gridCol w:w="271"/>
        <w:gridCol w:w="109"/>
        <w:gridCol w:w="109"/>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5567" w:type="dxa"/>
            <w:gridSpan w:val="29"/>
            <w:tcBorders/>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5567" w:type="dxa"/>
            <w:gridSpan w:val="2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cost of revenue decreased 8% for the three months ended March 31, 2026, primarily as a result of lower cost of products in correlation with lower gaming machine sales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increased 9% for the three months ended March 31, 2026, as compared to the prior year period, due to higher salaries and benefits (including stock-based compensation) of $14 million and higher legal and professional services of $7 million, partially offset by a decrease in marketing expense of $5 million.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D&amp;A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D&amp;A increased 19% for the three months ended March 31, 2026, primarily due to depreciation related to Gaming operations installed base investments and growth, as well as D&amp;A associated with assets acquired from the Grover acquisition.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Restructuring and Other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and other increased for the three months ended March 31, 2026, primarily due to $50 million in legal reserve contingencies associated with certain legal matters, while the three months ended March 31, 2025 included legal and professional service fees associated with the acquisition of Grover of $5 million, and $7 million in iGaming charges primarily related to the discontinuation of our iGaming Live Casino operations.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Other Factors Affecting Net Income</w:t>
      </w:r>
    </w:p>
    <w:tbl>
      <w:tblPr>
        <w:tblW w:w="10205" w:type="dxa"/>
        <w:jc w:val="left"/>
        <w:tblInd w:w="0" w:type="dxa"/>
        <w:tblLayout w:type="fixed"/>
        <w:tblCellMar>
          <w:top w:w="28" w:type="dxa"/>
          <w:left w:w="28" w:type="dxa"/>
          <w:bottom w:w="28" w:type="dxa"/>
          <w:right w:w="28" w:type="dxa"/>
        </w:tblCellMar>
      </w:tblPr>
      <w:tblGrid>
        <w:gridCol w:w="426"/>
        <w:gridCol w:w="334"/>
        <w:gridCol w:w="336"/>
        <w:gridCol w:w="247"/>
        <w:gridCol w:w="464"/>
        <w:gridCol w:w="127"/>
        <w:gridCol w:w="127"/>
        <w:gridCol w:w="127"/>
        <w:gridCol w:w="127"/>
        <w:gridCol w:w="247"/>
        <w:gridCol w:w="464"/>
        <w:gridCol w:w="127"/>
        <w:gridCol w:w="114"/>
        <w:gridCol w:w="114"/>
        <w:gridCol w:w="109"/>
        <w:gridCol w:w="1173"/>
        <w:gridCol w:w="109"/>
        <w:gridCol w:w="109"/>
        <w:gridCol w:w="109"/>
        <w:gridCol w:w="1561"/>
        <w:gridCol w:w="1561"/>
        <w:gridCol w:w="2093"/>
      </w:tblGrid>
      <w:tr>
        <w:trPr/>
        <w:tc>
          <w:tcPr>
            <w:tcW w:w="4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Factors Affecting Net Income</w:t>
            </w:r>
          </w:p>
        </w:tc>
        <w:tc>
          <w:tcPr>
            <w:tcW w:w="5542"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vs. 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increase in interest expense is primarily due to higher outstanding debt used to complete the Grover acquisition, partially offset by the redemption of certain senior notes and refinancing through the LNWI Credit Agreement that reduced our applicable interest rates.</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5"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5"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change in other income, net was primarily due to the impact of changes in foreign currency exchange rates.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The decrease in income tax expense was primarily due to the decrease in worldwide income.</w:t>
            </w:r>
            <w:r>
              <w:rPr>
                <w:rFonts w:ascii="Times New Roman;serif" w:hAnsi="Times New Roman;serif"/>
                <w:b w:val="false"/>
                <w:color w:val="000000"/>
                <w:sz w:val="12"/>
              </w:rPr>
              <w:t>(1)</w:t>
            </w:r>
          </w:p>
        </w:tc>
      </w:tr>
      <w:tr>
        <w:trPr/>
        <w:tc>
          <w:tcPr>
            <w:tcW w:w="3381" w:type="dxa"/>
            <w:gridSpan w:val="1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For additional information regarding our income tax expense, see Note 13.</w:t>
            </w:r>
          </w:p>
        </w:tc>
        <w:tc>
          <w:tcPr>
            <w:tcW w:w="6824" w:type="dxa"/>
            <w:gridSpan w:val="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(F/X)</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tbl>
      <w:tblPr>
        <w:tblW w:w="9441" w:type="dxa"/>
        <w:jc w:val="center"/>
        <w:tblInd w:w="0" w:type="dxa"/>
        <w:tblLayout w:type="fixed"/>
        <w:tblCellMar>
          <w:top w:w="28" w:type="dxa"/>
          <w:left w:w="28" w:type="dxa"/>
          <w:bottom w:w="28" w:type="dxa"/>
          <w:right w:w="28" w:type="dxa"/>
        </w:tblCellMar>
      </w:tblPr>
      <w:tblGrid>
        <w:gridCol w:w="700"/>
        <w:gridCol w:w="613"/>
        <w:gridCol w:w="621"/>
        <w:gridCol w:w="223"/>
        <w:gridCol w:w="382"/>
        <w:gridCol w:w="116"/>
        <w:gridCol w:w="109"/>
        <w:gridCol w:w="109"/>
        <w:gridCol w:w="109"/>
        <w:gridCol w:w="428"/>
        <w:gridCol w:w="428"/>
        <w:gridCol w:w="1064"/>
        <w:gridCol w:w="109"/>
        <w:gridCol w:w="109"/>
        <w:gridCol w:w="109"/>
        <w:gridCol w:w="223"/>
        <w:gridCol w:w="382"/>
        <w:gridCol w:w="116"/>
        <w:gridCol w:w="109"/>
        <w:gridCol w:w="109"/>
        <w:gridCol w:w="109"/>
        <w:gridCol w:w="428"/>
        <w:gridCol w:w="428"/>
        <w:gridCol w:w="1064"/>
        <w:gridCol w:w="109"/>
        <w:gridCol w:w="109"/>
        <w:gridCol w:w="109"/>
        <w:gridCol w:w="109"/>
        <w:gridCol w:w="109"/>
        <w:gridCol w:w="109"/>
        <w:gridCol w:w="109"/>
        <w:gridCol w:w="10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Sterling</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7507" w:type="dxa"/>
            <w:gridSpan w:val="3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color w:val="000000"/>
          <w:sz w:val="20"/>
        </w:rPr>
        <w:t xml:space="preserve">REPORTABLE BUSINESS SEGMENT RESULTS </w:t>
      </w:r>
      <w:r>
        <w:rPr>
          <w:rFonts w:ascii="Times New Roman;serif" w:hAnsi="Times New Roman;serif"/>
          <w:b/>
          <w:i/>
          <w:color w:val="000000"/>
          <w:sz w:val="20"/>
        </w:rPr>
        <w:t>(for the three months ended March 31, 2026 compared to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charitable organizations, and government agencies and their affiliated operators.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electronic pull tabs and other services revenues. Our product sales revenue includes the sale of new and used gaming machines, electronic table games,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VLTs and VGTs, casino-management technology solutions and systems, table products, proprietary table game licensing, conversion kits (including game, hardware or operating system conversions) and spare parts.</w:t>
      </w:r>
    </w:p>
    <w:p>
      <w:pPr>
        <w:pStyle w:val="TextBody"/>
        <w:bidi w:val="0"/>
        <w:spacing w:lineRule="auto" w:line="268" w:before="0" w:after="0"/>
        <w:ind w:left="0" w:right="0" w:firstLine="720"/>
        <w:jc w:val="left"/>
        <w:rPr/>
      </w:pPr>
      <w:r>
        <w:rPr>
          <w:rFonts w:ascii="Times New Roman;serif" w:hAnsi="Times New Roman;serif"/>
          <w:b w:val="false"/>
          <w:color w:val="000000"/>
          <w:sz w:val="20"/>
        </w:rPr>
        <w:t>For additional information, refer to the Gaming primary business activities summary included within “Business Segment Results” under</w:t>
      </w:r>
      <w:r>
        <w:rPr>
          <w:color w:val="000000"/>
        </w:rPr>
        <w:t xml:space="preserve">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of our 2025 10-K.</w:t>
      </w:r>
    </w:p>
    <w:p>
      <w:pPr>
        <w:pStyle w:val="TextBody"/>
        <w:bidi w:val="0"/>
        <w:spacing w:before="0" w:after="0"/>
        <w:ind w:left="0" w:right="0" w:firstLine="72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revenue for the three months ended March 31, 2026 increased by 3% as compared to the prior year period, primarily driven by growth in Gaming operations revenue of 38%, which benefited from a $23 million, or 13%, increase supported by our diversified portfolio of high-performing game franchises, along with $43 million from Grover, which currently operates in six states with over 12,200 units. The increase in Gaming revenue also benefited from Table Products growth of 24% for the three months ended March 31, 2026. Gaming machine sales decreased by $52 million or 25%, as the prior year period primarily benefited from the timing of international and North America VLT shipments, and Gaming systems revenue decreased by $9 million or 14% due to lower hardware sales as compared to the prior year period.</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Our growth is driven by the continued strength and success of our diversified portfolio of successful game franchises and the success of our </w:t>
      </w:r>
      <w:r>
        <w:rPr>
          <w:rFonts w:ascii="Times New Roman;serif" w:hAnsi="Times New Roman;serif"/>
          <w:b w:val="false"/>
          <w:i/>
          <w:color w:val="000000"/>
          <w:sz w:val="20"/>
        </w:rPr>
        <w:t>COSMIC</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COSMIC UPRIGHT</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LIGHTWAVE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HORIZON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cabinets. While demand remains strong, we are actively monitoring any impact of tariffs, inflationary pressures, supply chain disruptions, geopolitical uncertainty, and macroeconomic uncertainty that may impact our operations and financial results. See </w:t>
      </w:r>
      <w:r>
        <w:rPr>
          <w:rFonts w:ascii="Times New Roman;serif" w:hAnsi="Times New Roman;serif"/>
          <w:b w:val="false"/>
          <w:i/>
          <w:color w:val="000000"/>
          <w:sz w:val="20"/>
        </w:rPr>
        <w:t>Part</w:t>
      </w:r>
      <w:r>
        <w:rPr>
          <w:color w:val="000000"/>
        </w:rPr>
        <w:t xml:space="preserve"> </w:t>
      </w:r>
      <w:r>
        <w:rPr>
          <w:rFonts w:ascii="Times New Roman;serif" w:hAnsi="Times New Roman;serif"/>
          <w:b w:val="false"/>
          <w:i/>
          <w:color w:val="000000"/>
          <w:sz w:val="20"/>
        </w:rPr>
        <w:t>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Risk Factors” within our 2025 10-K for further information regarding these factors which may have an impact on our Gaming business.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and KPIs</w:t>
      </w:r>
    </w:p>
    <w:tbl>
      <w:tblPr>
        <w:tblW w:w="4140" w:type="dxa"/>
        <w:jc w:val="center"/>
        <w:tblInd w:w="0" w:type="dxa"/>
        <w:tblLayout w:type="fixed"/>
        <w:tblCellMar>
          <w:top w:w="28" w:type="dxa"/>
          <w:left w:w="28" w:type="dxa"/>
          <w:bottom w:w="28" w:type="dxa"/>
          <w:right w:w="28" w:type="dxa"/>
        </w:tblCellMar>
      </w:tblPr>
      <w:tblGrid>
        <w:gridCol w:w="1326"/>
        <w:gridCol w:w="1165"/>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 and 2025</w:t>
            </w:r>
          </w:p>
        </w:tc>
      </w:tr>
    </w:tbl>
    <w:p>
      <w:pPr>
        <w:pStyle w:val="TextBody"/>
        <w:bidi w:val="0"/>
        <w:spacing w:before="0" w:after="0"/>
        <w:jc w:val="center"/>
        <w:rPr/>
      </w:pPr>
      <w:r>
        <w:rPr/>
        <w:drawing>
          <wp:inline distT="0" distB="0" distL="0" distR="0">
            <wp:extent cx="2143125" cy="2924175"/>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4"/>
                    <a:stretch>
                      <a:fillRect/>
                    </a:stretch>
                  </pic:blipFill>
                  <pic:spPr bwMode="auto">
                    <a:xfrm>
                      <a:off x="0" y="0"/>
                      <a:ext cx="2143125" cy="2924175"/>
                    </a:xfrm>
                    <a:prstGeom prst="rect">
                      <a:avLst/>
                    </a:prstGeom>
                  </pic:spPr>
                </pic:pic>
              </a:graphicData>
            </a:graphic>
          </wp:inline>
        </w:drawing>
      </w:r>
      <w:bookmarkStart w:id="2" w:name="i-3"/>
      <w:bookmarkEnd w:id="2"/>
      <w:r>
        <w:rPr/>
        <w:drawing>
          <wp:inline distT="0" distB="0" distL="0" distR="0">
            <wp:extent cx="2143125" cy="292417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5"/>
                    <a:stretch>
                      <a:fillRect/>
                    </a:stretch>
                  </pic:blipFill>
                  <pic:spPr bwMode="auto">
                    <a:xfrm>
                      <a:off x="0" y="0"/>
                      <a:ext cx="2143125" cy="2924175"/>
                    </a:xfrm>
                    <a:prstGeom prst="rect">
                      <a:avLst/>
                    </a:prstGeom>
                  </pic:spPr>
                </pic:pic>
              </a:graphicData>
            </a:graphic>
          </wp:inline>
        </w:drawing>
      </w:r>
      <w:bookmarkStart w:id="3" w:name="i-4"/>
      <w:bookmarkEnd w:id="3"/>
      <w:r>
        <w:rPr/>
        <w:drawing>
          <wp:inline distT="0" distB="0" distL="0" distR="0">
            <wp:extent cx="2143125" cy="2924175"/>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6"/>
                    <a:stretch>
                      <a:fillRect/>
                    </a:stretch>
                  </pic:blipFill>
                  <pic:spPr bwMode="auto">
                    <a:xfrm>
                      <a:off x="0" y="0"/>
                      <a:ext cx="2143125" cy="2924175"/>
                    </a:xfrm>
                    <a:prstGeom prst="rect">
                      <a:avLst/>
                    </a:prstGeom>
                  </pic:spPr>
                </pic:pic>
              </a:graphicData>
            </a:graphic>
          </wp:inline>
        </w:drawing>
      </w:r>
      <w:bookmarkStart w:id="4" w:name="i-5"/>
      <w:bookmarkEnd w:id="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88"/>
        <w:gridCol w:w="748"/>
        <w:gridCol w:w="754"/>
        <w:gridCol w:w="308"/>
        <w:gridCol w:w="1052"/>
        <w:gridCol w:w="158"/>
        <w:gridCol w:w="158"/>
        <w:gridCol w:w="158"/>
        <w:gridCol w:w="158"/>
        <w:gridCol w:w="308"/>
        <w:gridCol w:w="1052"/>
        <w:gridCol w:w="158"/>
        <w:gridCol w:w="155"/>
        <w:gridCol w:w="155"/>
        <w:gridCol w:w="155"/>
        <w:gridCol w:w="300"/>
        <w:gridCol w:w="742"/>
        <w:gridCol w:w="155"/>
        <w:gridCol w:w="155"/>
        <w:gridCol w:w="155"/>
        <w:gridCol w:w="155"/>
        <w:gridCol w:w="281"/>
        <w:gridCol w:w="284"/>
        <w:gridCol w:w="385"/>
        <w:gridCol w:w="109"/>
        <w:gridCol w:w="109"/>
        <w:gridCol w:w="109"/>
        <w:gridCol w:w="109"/>
        <w:gridCol w:w="109"/>
        <w:gridCol w:w="109"/>
        <w:gridCol w:w="109"/>
        <w:gridCol w:w="165"/>
      </w:tblGrid>
      <w:tr>
        <w:trPr/>
        <w:tc>
          <w:tcPr>
            <w:tcW w:w="11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2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 except per unit amounts)</w:t>
            </w:r>
          </w:p>
        </w:tc>
        <w:tc>
          <w:tcPr>
            <w:tcW w:w="15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operations</w:t>
            </w:r>
            <w:r>
              <w:rPr>
                <w:rFonts w:ascii="Times New Roman;serif" w:hAnsi="Times New Roman;serif"/>
                <w:b w:val="false"/>
                <w:color w:val="000000"/>
                <w:sz w:val="13"/>
              </w:rPr>
              <w:t>(1)</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systems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products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KPIs:</w:t>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and Canada units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Installed base at period end</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revenue per unit</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 units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Installed base at period end</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revenue per unit</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 new unit shipments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new unit shipments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unit shipments</w:t>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sales price per new unit</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90"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7"/>
            <w:tcBorders/>
          </w:tcPr>
          <w:p>
            <w:pPr>
              <w:pStyle w:val="TableContents"/>
              <w:bidi w:val="0"/>
              <w:spacing w:before="0" w:after="283"/>
              <w:jc w:val="left"/>
              <w:rPr>
                <w:sz w:val="4"/>
                <w:szCs w:val="4"/>
              </w:rPr>
            </w:pPr>
            <w:r>
              <w:rPr>
                <w:sz w:val="4"/>
                <w:szCs w:val="4"/>
              </w:rPr>
            </w:r>
          </w:p>
        </w:tc>
      </w:tr>
      <w:tr>
        <w:trPr/>
        <w:tc>
          <w:tcPr>
            <w:tcW w:w="927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Inclusive of Grover installed base. During the fourth quarter of 2025, we revised the calculation of U.S. and Canada Average Daily Revenue per Unit (“ADRPU”) and updated the definition of our Grover installed base to fully align the methodology used across Grover and our legacy Gaming operations. The revision also incorporates a transition to presenting ADRPU on a net basis for WAP jackpots. Prior</w:t>
              <w:noBreakHyphen/>
              <w:t>period amounts have been revised to conform to the current presentation. These revisions did not have a material impact on underlying historical trends in the business.</w:t>
            </w:r>
          </w:p>
        </w:tc>
        <w:tc>
          <w:tcPr>
            <w:tcW w:w="928" w:type="dxa"/>
            <w:gridSpan w:val="8"/>
            <w:tcBorders/>
          </w:tcPr>
          <w:p>
            <w:pPr>
              <w:pStyle w:val="TableContents"/>
              <w:bidi w:val="0"/>
              <w:spacing w:before="0" w:after="283"/>
              <w:jc w:val="left"/>
              <w:rPr>
                <w:sz w:val="4"/>
                <w:szCs w:val="4"/>
              </w:rPr>
            </w:pPr>
            <w:r>
              <w:rPr>
                <w:sz w:val="4"/>
                <w:szCs w:val="4"/>
              </w:rPr>
            </w:r>
          </w:p>
        </w:tc>
      </w:tr>
      <w:tr>
        <w:trPr/>
        <w:tc>
          <w:tcPr>
            <w:tcW w:w="927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(2) Units exclude those related to game content licensing. </w:t>
            </w:r>
          </w:p>
        </w:tc>
        <w:tc>
          <w:tcPr>
            <w:tcW w:w="928" w:type="dxa"/>
            <w:gridSpan w:val="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operations revenue growth for the three months ended March 31, 2026 was driven by a $23 million, or 13%, increase from strong game performance of hit franchises, including our premium games, as well as a contribution of $43 million in revenue from Grover. Gaming operations for U.S. and Canada (excluding Grover) had a 1,805-unit increase in installed base from March 31, 2025 to March 31, 2026, while Grover had a 12,294-unit installed base as of March 31, 2026. Gaming operations (including Grover) had an increase in average daily revenue per unit of $1.33 for the three months ended March 31, 2026, as growth related to our existing U.S. and Canada units was partially offset by the inclusion of lower-yielding Grover units. Average daily revenue per unit for International units increased by $0.89 for the three months ended March 31, 2026, while International ending installed base units decreased by 1,186 units from March 31, 2025 to March 31, 2026, primarily due to the expected closure of certain LBOs in the U.K.</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Machine Sales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machine sales revenue decreased by $52 million or 25%, as the prior year period benefited from the timing of international and North America VLT shipments.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Gaming machine sales changes:</w:t>
      </w:r>
    </w:p>
    <w:tbl>
      <w:tblPr>
        <w:tblW w:w="9023" w:type="dxa"/>
        <w:jc w:val="center"/>
        <w:tblInd w:w="0" w:type="dxa"/>
        <w:tblLayout w:type="fixed"/>
        <w:tblCellMar>
          <w:top w:w="28" w:type="dxa"/>
          <w:left w:w="28" w:type="dxa"/>
          <w:bottom w:w="28" w:type="dxa"/>
          <w:right w:w="28" w:type="dxa"/>
        </w:tblCellMar>
      </w:tblPr>
      <w:tblGrid>
        <w:gridCol w:w="1117"/>
        <w:gridCol w:w="983"/>
        <w:gridCol w:w="990"/>
        <w:gridCol w:w="427"/>
        <w:gridCol w:w="286"/>
        <w:gridCol w:w="286"/>
        <w:gridCol w:w="286"/>
        <w:gridCol w:w="286"/>
        <w:gridCol w:w="286"/>
        <w:gridCol w:w="427"/>
        <w:gridCol w:w="286"/>
        <w:gridCol w:w="286"/>
        <w:gridCol w:w="109"/>
        <w:gridCol w:w="109"/>
        <w:gridCol w:w="109"/>
        <w:gridCol w:w="343"/>
        <w:gridCol w:w="347"/>
        <w:gridCol w:w="109"/>
        <w:gridCol w:w="109"/>
        <w:gridCol w:w="109"/>
        <w:gridCol w:w="109"/>
        <w:gridCol w:w="218"/>
        <w:gridCol w:w="218"/>
        <w:gridCol w:w="271"/>
        <w:gridCol w:w="109"/>
        <w:gridCol w:w="109"/>
        <w:gridCol w:w="109"/>
        <w:gridCol w:w="109"/>
        <w:gridCol w:w="109"/>
        <w:gridCol w:w="109"/>
        <w:gridCol w:w="109"/>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 unit shipments:</w:t>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units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opening and expansion units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unit shipments</w:t>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unit shipments:</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units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opening and expansion units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unit shipments</w:t>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Systems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systems revenue decreased 14% to $54 million for the three months ended March 31, 2026. The majority of the decrease was due to lower hardware sales as compared to the prior year period.</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Products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Table Products revenue increased 24% to $63 million for the three months ended March 31, 2026. The majority of the increase was due to higher utility sales as compared to the prior year period.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Operating Expenses and AEBITDA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by $22 million for the three months ended March 31, 2026, as compared to the prior year period, primarily due to $18 million in higher D&amp;A, of which $16 million is related to Grover, and the remainder of which is related to increased Gaming operations investment, coupled with $14 million in higher salaries and benefits (including stock-based compensation). These increases were partially offset by $13 million in lower cost of revenue primarily associated with a decrease in Gaming machine sales.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AEBITDA increased by $17 million for the three months ended March 31, 2026, while AEBITDA as a percentage of revenue (“AEBITDA margin”) increased to 53% for the three months ended March 31, 2026, as compared to 51% for the prior year period, primarily due to margin enhancement initiatives and a more favorable revenue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SCIPLAY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SciPlay business segment is a leading developer and publisher of digital games on online platforms. SciPlay operates primarily in the social gaming market, which is characterized by gameplay online or on mobile devices that is social, competitive and self-directed in pace and session length. 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gameplay. Once obtained, coins, chips and cards (either free or purchased) cannot be redeemed for cash nor exchanged for anything other than game play within SciPlay’s apps. SciPlay generates additional revenue through advertising arrangements in certain games, which was not material for the periods presented. Players who install these games receive free, unlimited gameplay that requires viewing of periodic in-game advertisements.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currently offers a variety of social casino games, including </w:t>
      </w:r>
      <w:r>
        <w:rPr>
          <w:rFonts w:ascii="Times New Roman;serif" w:hAnsi="Times New Roman;serif"/>
          <w:b w:val="false"/>
          <w:i/>
          <w:color w:val="000000"/>
          <w:sz w:val="20"/>
        </w:rPr>
        <w:t>JACKPOT PARTY® Casino, QUICK HIT® Slots, GOLD FISH® Casino, 88 FORTUNES® Slots, MONOPOLY Slots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HOT SHOT CASINO®</w:t>
      </w:r>
      <w:r>
        <w:rPr>
          <w:rFonts w:ascii="Times New Roman;serif" w:hAnsi="Times New Roman;serif"/>
          <w:b w:val="false"/>
          <w:color w:val="000000"/>
          <w:sz w:val="20"/>
        </w:rPr>
        <w:t xml:space="preserve">. SciPlay continues to pursue its strategy of expanding into the online games market. Current casual game titles include </w:t>
      </w:r>
      <w:r>
        <w:rPr>
          <w:rFonts w:ascii="Times New Roman;serif" w:hAnsi="Times New Roman;serif"/>
          <w:b w:val="false"/>
          <w:i/>
          <w:color w:val="000000"/>
          <w:sz w:val="20"/>
        </w:rPr>
        <w:t>BINGO SHOWDOWN®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BACKGAMMON LIVE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SciPlay </w:t>
      </w:r>
      <w:r>
        <w:rPr>
          <w:rFonts w:ascii="Times New Roman;serif" w:hAnsi="Times New Roman;serif"/>
          <w:b w:val="false"/>
          <w:color w:val="000000"/>
          <w:sz w:val="20"/>
        </w:rPr>
        <w:t xml:space="preserve">continually develops and tests various new games.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serif" w:hAnsi="Times New Roman;serif"/>
          <w:b w:val="false"/>
          <w:i/>
          <w:color w:val="000000"/>
          <w:sz w:val="20"/>
        </w:rPr>
        <w:t>APPLE, GOOGLE, FACEBOOK, AMAZON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MICROSOFT</w:t>
      </w:r>
      <w:r>
        <w:rPr>
          <w:rFonts w:ascii="Times New Roman;serif" w:hAnsi="Times New Roman;serif"/>
          <w:b w:val="false"/>
          <w:color w:val="000000"/>
          <w:sz w:val="20"/>
        </w:rPr>
        <w:t xml:space="preserve">. Revenue generated via SciPlay’s proprietary direct-to-consumer platform continues to increase and represented approximately 27% of total SciPlay revenue for the three months ended March 31, 2026. In addition to original game content, SciPlay’s content library includes recognizable game content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across our other platforms within Gaming and iGaming. This content allows players who like playing land-based game content to enjoy some of those same titles in SciPlay’s free-to-play games.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pPr>
      <w:r>
        <w:rPr>
          <w:rFonts w:ascii="Times New Roman;serif" w:hAnsi="Times New Roman;serif"/>
          <w:b w:val="false"/>
          <w:color w:val="000000"/>
          <w:sz w:val="20"/>
        </w:rPr>
        <w:t>SciPlay continues to deliver steady results and quality payer engagement and monetization. Revenue decreased by 7% for the three months ended March 31, 2026, primarily due to a decline in average monthly payers, largely attributable to Jackpot Party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Casino, partially offset by an increase in average monthly revenue per paying user. Additionally, the overall social casino industry is experiencing pressures from sweepstakes operators and remains challenged amid a mature social casino market. SciPlay continues to deploy strategic game updates, utilize enhanced analytics, pursue international expansion and benefit from the proprietary direct-to-consumer platform.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significant portion of SciPlay personnel located in Tel Aviv, Israel. In light of current circumstances in Israel and the Middle East,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and KPIs</w:t>
      </w:r>
    </w:p>
    <w:tbl>
      <w:tblPr>
        <w:tblW w:w="4140" w:type="dxa"/>
        <w:jc w:val="center"/>
        <w:tblInd w:w="0" w:type="dxa"/>
        <w:tblLayout w:type="fixed"/>
        <w:tblCellMar>
          <w:top w:w="28" w:type="dxa"/>
          <w:left w:w="28" w:type="dxa"/>
          <w:bottom w:w="28" w:type="dxa"/>
          <w:right w:w="28" w:type="dxa"/>
        </w:tblCellMar>
      </w:tblPr>
      <w:tblGrid>
        <w:gridCol w:w="1326"/>
        <w:gridCol w:w="1165"/>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 and 2025</w:t>
            </w:r>
          </w:p>
        </w:tc>
      </w:tr>
    </w:tbl>
    <w:p>
      <w:pPr>
        <w:pStyle w:val="TextBody"/>
        <w:bidi w:val="0"/>
        <w:spacing w:before="0" w:after="100"/>
        <w:jc w:val="center"/>
        <w:rPr/>
      </w:pPr>
      <w:r>
        <w:rPr/>
        <w:drawing>
          <wp:inline distT="0" distB="0" distL="0" distR="0">
            <wp:extent cx="2152650" cy="2143125"/>
            <wp:effectExtent l="0" t="0" r="0" b="0"/>
            <wp:docPr id="4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6" descr=""/>
                    <pic:cNvPicPr>
                      <a:picLocks noChangeAspect="1" noChangeArrowheads="1"/>
                    </pic:cNvPicPr>
                  </pic:nvPicPr>
                  <pic:blipFill>
                    <a:blip r:embed="rId7"/>
                    <a:stretch>
                      <a:fillRect/>
                    </a:stretch>
                  </pic:blipFill>
                  <pic:spPr bwMode="auto">
                    <a:xfrm>
                      <a:off x="0" y="0"/>
                      <a:ext cx="2152650" cy="2143125"/>
                    </a:xfrm>
                    <a:prstGeom prst="rect">
                      <a:avLst/>
                    </a:prstGeom>
                  </pic:spPr>
                </pic:pic>
              </a:graphicData>
            </a:graphic>
          </wp:inline>
        </w:drawing>
      </w:r>
      <w:bookmarkStart w:id="5" w:name="i-6"/>
      <w:bookmarkEnd w:id="5"/>
      <w:r>
        <w:rPr/>
        <w:drawing>
          <wp:inline distT="0" distB="0" distL="0" distR="0">
            <wp:extent cx="2143125" cy="2143125"/>
            <wp:effectExtent l="0" t="0" r="0" b="0"/>
            <wp:docPr id="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7" descr=""/>
                    <pic:cNvPicPr>
                      <a:picLocks noChangeAspect="1" noChangeArrowheads="1"/>
                    </pic:cNvPicPr>
                  </pic:nvPicPr>
                  <pic:blipFill>
                    <a:blip r:embed="rId8"/>
                    <a:stretch>
                      <a:fillRect/>
                    </a:stretch>
                  </pic:blipFill>
                  <pic:spPr bwMode="auto">
                    <a:xfrm>
                      <a:off x="0" y="0"/>
                      <a:ext cx="2143125" cy="2143125"/>
                    </a:xfrm>
                    <a:prstGeom prst="rect">
                      <a:avLst/>
                    </a:prstGeom>
                  </pic:spPr>
                </pic:pic>
              </a:graphicData>
            </a:graphic>
          </wp:inline>
        </w:drawing>
      </w:r>
      <w:bookmarkStart w:id="6" w:name="i-7"/>
      <w:bookmarkEnd w:id="6"/>
      <w:r>
        <w:rPr/>
        <w:drawing>
          <wp:inline distT="0" distB="0" distL="0" distR="0">
            <wp:extent cx="2143125" cy="2143125"/>
            <wp:effectExtent l="0" t="0" r="0" b="0"/>
            <wp:docPr id="4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8" descr=""/>
                    <pic:cNvPicPr>
                      <a:picLocks noChangeAspect="1" noChangeArrowheads="1"/>
                    </pic:cNvPicPr>
                  </pic:nvPicPr>
                  <pic:blipFill>
                    <a:blip r:embed="rId9"/>
                    <a:stretch>
                      <a:fillRect/>
                    </a:stretch>
                  </pic:blipFill>
                  <pic:spPr bwMode="auto">
                    <a:xfrm>
                      <a:off x="0" y="0"/>
                      <a:ext cx="2143125" cy="2143125"/>
                    </a:xfrm>
                    <a:prstGeom prst="rect">
                      <a:avLst/>
                    </a:prstGeom>
                  </pic:spPr>
                </pic:pic>
              </a:graphicData>
            </a:graphic>
          </wp:inline>
        </w:drawing>
      </w:r>
      <w:bookmarkStart w:id="7" w:name="i-8"/>
      <w:bookmarkEnd w:id="7"/>
    </w:p>
    <w:tbl>
      <w:tblPr>
        <w:tblW w:w="7152" w:type="dxa"/>
        <w:jc w:val="center"/>
        <w:tblInd w:w="0" w:type="dxa"/>
        <w:tblLayout w:type="fixed"/>
        <w:tblCellMar>
          <w:top w:w="28" w:type="dxa"/>
          <w:left w:w="28" w:type="dxa"/>
          <w:bottom w:w="28" w:type="dxa"/>
          <w:right w:w="28" w:type="dxa"/>
        </w:tblCellMar>
      </w:tblPr>
      <w:tblGrid>
        <w:gridCol w:w="179"/>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22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75" w:type="dxa"/>
            <w:gridSpan w:val="30"/>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949" w:type="dxa"/>
            <w:gridSpan w:val="12"/>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45"/>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(1) Other primarily represents advertising revenue, which was not material for the periods presented. </w:t>
            </w:r>
          </w:p>
        </w:tc>
      </w:tr>
      <w:tr>
        <w:trPr/>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74"/>
        <w:gridCol w:w="680"/>
        <w:gridCol w:w="593"/>
        <w:gridCol w:w="261"/>
        <w:gridCol w:w="894"/>
        <w:gridCol w:w="336"/>
        <w:gridCol w:w="135"/>
        <w:gridCol w:w="135"/>
        <w:gridCol w:w="135"/>
        <w:gridCol w:w="261"/>
        <w:gridCol w:w="894"/>
        <w:gridCol w:w="336"/>
        <w:gridCol w:w="135"/>
        <w:gridCol w:w="135"/>
        <w:gridCol w:w="135"/>
        <w:gridCol w:w="261"/>
        <w:gridCol w:w="676"/>
        <w:gridCol w:w="336"/>
        <w:gridCol w:w="135"/>
        <w:gridCol w:w="135"/>
        <w:gridCol w:w="135"/>
        <w:gridCol w:w="245"/>
        <w:gridCol w:w="245"/>
        <w:gridCol w:w="336"/>
        <w:gridCol w:w="109"/>
        <w:gridCol w:w="109"/>
        <w:gridCol w:w="109"/>
        <w:gridCol w:w="109"/>
        <w:gridCol w:w="109"/>
        <w:gridCol w:w="109"/>
        <w:gridCol w:w="109"/>
        <w:gridCol w:w="109"/>
        <w:gridCol w:w="109"/>
        <w:gridCol w:w="109"/>
        <w:gridCol w:w="109"/>
        <w:gridCol w:w="163"/>
      </w:tblGrid>
      <w:tr>
        <w:trPr/>
        <w:tc>
          <w:tcPr>
            <w:tcW w:w="12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gridSpan w:val="8"/>
            <w:tcBorders/>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 unless otherwise noted)</w:t>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Third-party platforms and other</w:t>
            </w:r>
            <w:r>
              <w:rPr>
                <w:rFonts w:ascii="Times New Roman;serif" w:hAnsi="Times New Roman;serif"/>
                <w:b w:val="false"/>
                <w:color w:val="000000"/>
                <w:sz w:val="13"/>
              </w:rPr>
              <w:t>(1)</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platforms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KPIs: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In-App Purchases:</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MAU</w:t>
            </w:r>
            <w:r>
              <w:rPr>
                <w:rFonts w:ascii="Times New Roman;serif" w:hAnsi="Times New Roman;serif"/>
                <w:b w:val="false"/>
                <w:color w:val="000000"/>
                <w:sz w:val="13"/>
              </w:rPr>
              <w:t>(2)</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DAU</w:t>
            </w:r>
            <w:r>
              <w:rPr>
                <w:rFonts w:ascii="Times New Roman;serif" w:hAnsi="Times New Roman;serif"/>
                <w:b w:val="false"/>
                <w:color w:val="000000"/>
                <w:sz w:val="13"/>
              </w:rPr>
              <w:t>(3)</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ARPDAU</w:t>
            </w:r>
            <w:r>
              <w:rPr>
                <w:rFonts w:ascii="Times New Roman;serif" w:hAnsi="Times New Roman;serif"/>
                <w:b w:val="false"/>
                <w:color w:val="000000"/>
                <w:sz w:val="13"/>
              </w:rPr>
              <w:t>(4)</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MPUs</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 thousands)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AMRPPU</w:t>
            </w:r>
            <w:r>
              <w:rPr>
                <w:rFonts w:ascii="Times New Roman;serif" w:hAnsi="Times New Roman;serif"/>
                <w:b w:val="false"/>
                <w:color w:val="000000"/>
                <w:sz w:val="13"/>
              </w:rPr>
              <w:t>(6)</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Payer Conversion Rate</w:t>
            </w:r>
            <w:r>
              <w:rPr>
                <w:rFonts w:ascii="Times New Roman;serif" w:hAnsi="Times New Roman;serif"/>
                <w:b w:val="false"/>
                <w:color w:val="000000"/>
                <w:sz w:val="13"/>
              </w:rPr>
              <w:t>(7)</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3"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pp = percentage points.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Other primarily represents advertising revenue, which was not material for the periods presented.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MAU = Monthly Active Users is a count of visitors to our sites during a month.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(3) DAU = Daily Active Users is a count of visitors to our sites during a day.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 ARPDAU = Average Revenue Per DAU is calculated by dividing revenue for a period by the DAU for the period by the number of days for the period.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MPU = Monthly Paying Users is the number of individual users who made an in-game purchase during a particular month.</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 AMRPPU = Average Monthly Revenue Per Paying User is calculated by dividing average monthly revenue by average MPUs for the applicable time period.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 Payer conversion rate is calculated by dividing average MPU for the period by the average MAU for the same period.</w:t>
            </w:r>
          </w:p>
        </w:tc>
        <w:tc>
          <w:tcPr>
            <w:tcW w:w="1362"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revenue decreased by 7% for the three months ended March 31, 2026, primarily due to a decline in average monthly payers, primarily attributable to </w:t>
      </w:r>
      <w:r>
        <w:rPr>
          <w:rFonts w:ascii="Times New Roman;serif" w:hAnsi="Times New Roman;serif"/>
          <w:b w:val="false"/>
          <w:i/>
          <w:color w:val="000000"/>
          <w:sz w:val="20"/>
        </w:rPr>
        <w:t>Jackpot Party</w:t>
      </w:r>
      <w:r>
        <w:rPr>
          <w:color w:val="000000"/>
        </w:rPr>
        <w:t xml:space="preserve"> </w:t>
      </w:r>
      <w:r>
        <w:rPr>
          <w:rFonts w:ascii="Times New Roman;serif" w:hAnsi="Times New Roman;serif"/>
          <w:b w:val="false"/>
          <w:i/>
          <w:color w:val="000000"/>
          <w:sz w:val="20"/>
        </w:rPr>
        <w:t>Casino</w:t>
      </w:r>
      <w:r>
        <w:rPr>
          <w:color w:val="000000"/>
        </w:rPr>
        <w:t xml:space="preserve"> </w:t>
      </w:r>
      <w:r>
        <w:rPr>
          <w:rFonts w:ascii="Times New Roman;serif" w:hAnsi="Times New Roman;serif"/>
          <w:b w:val="false"/>
          <w:color w:val="000000"/>
          <w:sz w:val="20"/>
        </w:rPr>
        <w:t>and partially offset by an increase in average monthly revenue per paying user.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Average MAU and average MPU for the three months ended March 31, 2026 decreased due to the turnover in users. ARPDAU decreased slightly while AMRPPU increased, despite payer conversion decreasing slightly, as SciPlay continues to improve content and features, resulting in steady paying player interaction.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Payer conversion rates decreased slightly but remained near 10% due to consistent payer interaction with the games as a result of SciPlay’s focus on introducing new content, features and live events in games.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Operating Expenses and AEBITDA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decreased 10% for the three months ended March 31, 2026, as compared to the prior year period, which was primarily driven by lower cost of revenue on our direct-to-consumer platform revenue and lower user acquisition costs of $6 million.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AEBITDA for the three months ended March 31, 2026 increased by $2 million to $66 million as compared to the prior year period. SciPlay AEBITDA margin increased by 3 percentage points to 35%, primarily due to revenue generated via our proprietary direct-to-consumer platform, which generates higher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iGaming business segment provides a comprehensive suite of digital gaming content, distribution platforms and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expand our customer base and capitalize on growth in the North American and International markets, including emerging markets, by leveraging our industry leading platforms, content and solutions, as well as investing in our ability to scale our own original U.S. and international land-based content offering.</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In November 2025, the U.K. Government’s Autumn Budget increased gambling duties that will increase tax liabilities for our customers and consequently impact our revenue and earnings, effective April 1, 2026. We are still assessing the impact on our iGaming segment, which includes U.K. revenue representing approximately 15% to 20% of total iGaming revenue subject to this tax. See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Risk Factors” within our 2025 10-K for further information regarding U.K. Government gaming tax changes.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w:t>
      </w:r>
    </w:p>
    <w:tbl>
      <w:tblPr>
        <w:tblW w:w="4140" w:type="dxa"/>
        <w:jc w:val="center"/>
        <w:tblInd w:w="0" w:type="dxa"/>
        <w:tblLayout w:type="fixed"/>
        <w:tblCellMar>
          <w:top w:w="28" w:type="dxa"/>
          <w:left w:w="28" w:type="dxa"/>
          <w:bottom w:w="28" w:type="dxa"/>
          <w:right w:w="28" w:type="dxa"/>
        </w:tblCellMar>
      </w:tblPr>
      <w:tblGrid>
        <w:gridCol w:w="1326"/>
        <w:gridCol w:w="1165"/>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 and 2025</w:t>
            </w:r>
          </w:p>
        </w:tc>
      </w:tr>
    </w:tbl>
    <w:p>
      <w:pPr>
        <w:pStyle w:val="TextBody"/>
        <w:bidi w:val="0"/>
        <w:spacing w:before="0" w:after="160"/>
        <w:jc w:val="center"/>
        <w:rPr/>
      </w:pPr>
      <w:r>
        <w:rPr/>
        <w:drawing>
          <wp:inline distT="0" distB="0" distL="0" distR="0">
            <wp:extent cx="2152650" cy="2143125"/>
            <wp:effectExtent l="0" t="0" r="0" b="0"/>
            <wp:docPr id="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9" descr=""/>
                    <pic:cNvPicPr>
                      <a:picLocks noChangeAspect="1" noChangeArrowheads="1"/>
                    </pic:cNvPicPr>
                  </pic:nvPicPr>
                  <pic:blipFill>
                    <a:blip r:embed="rId10"/>
                    <a:stretch>
                      <a:fillRect/>
                    </a:stretch>
                  </pic:blipFill>
                  <pic:spPr bwMode="auto">
                    <a:xfrm>
                      <a:off x="0" y="0"/>
                      <a:ext cx="2152650" cy="2143125"/>
                    </a:xfrm>
                    <a:prstGeom prst="rect">
                      <a:avLst/>
                    </a:prstGeom>
                  </pic:spPr>
                </pic:pic>
              </a:graphicData>
            </a:graphic>
          </wp:inline>
        </w:drawing>
      </w:r>
      <w:bookmarkStart w:id="8" w:name="i-9"/>
      <w:bookmarkEnd w:id="8"/>
      <w:r>
        <w:rPr/>
        <w:drawing>
          <wp:inline distT="0" distB="0" distL="0" distR="0">
            <wp:extent cx="2143125" cy="2143125"/>
            <wp:effectExtent l="0" t="0" r="0" b="0"/>
            <wp:docPr id="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 descr=""/>
                    <pic:cNvPicPr>
                      <a:picLocks noChangeAspect="1" noChangeArrowheads="1"/>
                    </pic:cNvPicPr>
                  </pic:nvPicPr>
                  <pic:blipFill>
                    <a:blip r:embed="rId11"/>
                    <a:stretch>
                      <a:fillRect/>
                    </a:stretch>
                  </pic:blipFill>
                  <pic:spPr bwMode="auto">
                    <a:xfrm>
                      <a:off x="0" y="0"/>
                      <a:ext cx="2143125" cy="2143125"/>
                    </a:xfrm>
                    <a:prstGeom prst="rect">
                      <a:avLst/>
                    </a:prstGeom>
                  </pic:spPr>
                </pic:pic>
              </a:graphicData>
            </a:graphic>
          </wp:inline>
        </w:drawing>
      </w:r>
      <w:bookmarkStart w:id="9" w:name="i-10"/>
      <w:bookmarkEnd w:id="9"/>
      <w:r>
        <w:rPr/>
        <w:drawing>
          <wp:inline distT="0" distB="0" distL="0" distR="0">
            <wp:extent cx="2143125" cy="2143125"/>
            <wp:effectExtent l="0" t="0" r="0" b="0"/>
            <wp:docPr id="4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1" descr=""/>
                    <pic:cNvPicPr>
                      <a:picLocks noChangeAspect="1" noChangeArrowheads="1"/>
                    </pic:cNvPicPr>
                  </pic:nvPicPr>
                  <pic:blipFill>
                    <a:blip r:embed="rId12"/>
                    <a:stretch>
                      <a:fillRect/>
                    </a:stretch>
                  </pic:blipFill>
                  <pic:spPr bwMode="auto">
                    <a:xfrm>
                      <a:off x="0" y="0"/>
                      <a:ext cx="2143125" cy="2143125"/>
                    </a:xfrm>
                    <a:prstGeom prst="rect">
                      <a:avLst/>
                    </a:prstGeom>
                  </pic:spPr>
                </pic:pic>
              </a:graphicData>
            </a:graphic>
          </wp:inline>
        </w:drawing>
      </w:r>
      <w:bookmarkStart w:id="10" w:name="i-11"/>
      <w:bookmarkEnd w:id="10"/>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iGaming revenue for the three months ended March 31, 2026 increased 18%, as compared to the prior year period, primarily driven by continuing momentum in the North American market underpinned by 1PP growth and the expansion of our partner network. Wagers processed through our Open Gaming System for the current year period increased to $29.9 billion from $25.2 billion during the prior year period.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1% for the three months ended March 31, 2026, as higher costs in correlation with higher revenues were partially offset by $7 million in restructuring costs in the prior year period, largely related to the discontinuation of our Live Casino operations. AEBITDA increased 22% for the three months ended March 31, 2026, and AEBITDA margin increased to 36% for the three months ended March 31, 2026, primarily due to higher margin on 1PP.</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RECENTLY ISSUED ACCOUNTING GUIDANCE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that any recently issued accounting guidance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For a description of our policies regarding our critical accounting estimates, see “Critical Accounting Estimates” in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included in our 2025 10-K.</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There have been no significant changes in our critical accounting estimate policies or the application of those policies to our condensed consolidated financial statements from those presented in </w:t>
      </w:r>
      <w:r>
        <w:rPr>
          <w:rFonts w:ascii="Times New Roman;serif" w:hAnsi="Times New Roman;serif"/>
          <w:b w:val="false"/>
          <w:i/>
          <w:color w:val="000000"/>
          <w:sz w:val="20"/>
        </w:rPr>
        <w:t>Part II,</w:t>
      </w:r>
      <w:r>
        <w:rPr>
          <w:color w:val="000000"/>
        </w:rPr>
        <w:t xml:space="preserve">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included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LIQUIDITY, CAPITAL RESOURCES AND WORKING CAPITAL</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and Available Liquidity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our principal sources of liquidity, other than cash flows provided by operating activities, were cash and cash equivalents as well as amounts available under the LNWI Revolver.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and Available Revolver Capacity</w:t>
      </w:r>
    </w:p>
    <w:tbl>
      <w:tblPr>
        <w:tblW w:w="5472" w:type="dxa"/>
        <w:jc w:val="center"/>
        <w:tblInd w:w="0" w:type="dxa"/>
        <w:tblLayout w:type="fixed"/>
        <w:tblCellMar>
          <w:top w:w="28" w:type="dxa"/>
          <w:left w:w="28" w:type="dxa"/>
          <w:bottom w:w="28" w:type="dxa"/>
          <w:right w:w="28" w:type="dxa"/>
        </w:tblCellMar>
      </w:tblPr>
      <w:tblGrid>
        <w:gridCol w:w="818"/>
        <w:gridCol w:w="718"/>
        <w:gridCol w:w="729"/>
        <w:gridCol w:w="346"/>
        <w:gridCol w:w="765"/>
        <w:gridCol w:w="179"/>
        <w:gridCol w:w="109"/>
        <w:gridCol w:w="109"/>
        <w:gridCol w:w="109"/>
        <w:gridCol w:w="402"/>
        <w:gridCol w:w="891"/>
        <w:gridCol w:w="297"/>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capacity</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Revolver capacity drawn </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cash held by our foreign subsidiaries was $147 million and $156 million as of March 31, 2026 and December 31, 2025, respectively. We believe that substantially all cash held outside the U.S. is free from legal encumbrances or similar restrictions that would prevent it from being available to meet our global liquidity needs.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and also include purchase obligations and supply contracts, license agreement minimum guaranteed payments and lease obligations. There have been no material changes to our capital requirements disclosed in our 2025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make payments on and to refinance our indebtedness and other obligations depends on our ability to generate cash in the future. We may, from time to time, repurchase or otherwise repay, retire or refinance our debt, through our subsidiaries or otherwise. We may also repurchase shares of our outstanding common stock (including CDIs) through our Board-approved share repurchase program, up to an aggregate amount of $1.5 billion through June 12, 2027. On February 19, 2026, we retired all existing treasury shares and restored such shares to the status of authorized but unissued shares in accordance with the Nevada Revised Statutes. All future shares (including CDIs) repurchased under our share repurchase program will also be retired and restored to the status of authorized but unissued shares.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In the event we pursue significant acquisitions or other expansion opportunities, or conduct significant repurchases of our outstanding securities, we may need to raise additional capital, either through the public or private issuance of equity or debt securities or through additional borrowings under our existing or additional financing arrangements, which sources of funds may not necessarily be available on terms acceptable to us, or at all.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serif" w:hAnsi="Times New Roman;serif"/>
          <w:b w:val="false"/>
          <w:i/>
          <w:color w:val="000000"/>
          <w:sz w:val="20"/>
        </w:rPr>
        <w:t>Part I</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Item 1A </w:t>
      </w:r>
      <w:r>
        <w:rPr>
          <w:rFonts w:ascii="Times New Roman;serif" w:hAnsi="Times New Roman;serif"/>
          <w:b w:val="false"/>
          <w:color w:val="000000"/>
          <w:sz w:val="20"/>
        </w:rPr>
        <w:t>in our 2025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22, 2026, we amended the LNWI Credit Agreement and reduced the applicable margin on the LNWI Term Loan B. Following the amendment, the interest rate for the Term Loan B is either (i) the Adjusted Term SOFR Rate (as defined in the LNWI Credit Agreement) plus 2.00% per annum or (ii) a base rate plus 1.00%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 Summary</w:t>
      </w:r>
    </w:p>
    <w:tbl>
      <w:tblPr>
        <w:tblW w:w="10205" w:type="dxa"/>
        <w:jc w:val="center"/>
        <w:tblInd w:w="0" w:type="dxa"/>
        <w:tblLayout w:type="fixed"/>
        <w:tblCellMar>
          <w:top w:w="28" w:type="dxa"/>
          <w:left w:w="28" w:type="dxa"/>
          <w:bottom w:w="28" w:type="dxa"/>
          <w:right w:w="28" w:type="dxa"/>
        </w:tblCellMar>
      </w:tblPr>
      <w:tblGrid>
        <w:gridCol w:w="1929"/>
        <w:gridCol w:w="1655"/>
        <w:gridCol w:w="1652"/>
        <w:gridCol w:w="270"/>
        <w:gridCol w:w="598"/>
        <w:gridCol w:w="139"/>
        <w:gridCol w:w="139"/>
        <w:gridCol w:w="139"/>
        <w:gridCol w:w="139"/>
        <w:gridCol w:w="270"/>
        <w:gridCol w:w="598"/>
        <w:gridCol w:w="139"/>
        <w:gridCol w:w="109"/>
        <w:gridCol w:w="796"/>
        <w:gridCol w:w="109"/>
        <w:gridCol w:w="109"/>
        <w:gridCol w:w="109"/>
        <w:gridCol w:w="292"/>
        <w:gridCol w:w="592"/>
        <w:gridCol w:w="150"/>
        <w:gridCol w:w="109"/>
        <w:gridCol w:w="163"/>
      </w:tblGrid>
      <w:tr>
        <w:trPr/>
        <w:tc>
          <w:tcPr>
            <w:tcW w:w="192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633" w:type="dxa"/>
            <w:gridSpan w:val="8"/>
            <w:tcBorders/>
          </w:tcPr>
          <w:p>
            <w:pPr>
              <w:pStyle w:val="TableContents"/>
              <w:bidi w:val="0"/>
              <w:spacing w:before="0" w:after="283"/>
              <w:jc w:val="left"/>
              <w:rPr>
                <w:sz w:val="4"/>
                <w:szCs w:val="4"/>
              </w:rPr>
            </w:pPr>
            <w:r>
              <w:rPr>
                <w:sz w:val="4"/>
                <w:szCs w:val="4"/>
              </w:rPr>
            </w:r>
          </w:p>
        </w:tc>
      </w:tr>
      <w:tr>
        <w:trPr/>
        <w:tc>
          <w:tcPr>
            <w:tcW w:w="5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545" w:type="dxa"/>
            <w:gridSpan w:val="1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tbl>
      <w:tblPr>
        <w:tblW w:w="10205" w:type="dxa"/>
        <w:jc w:val="center"/>
        <w:tblInd w:w="0" w:type="dxa"/>
        <w:tblLayout w:type="fixed"/>
        <w:tblCellMar>
          <w:top w:w="28" w:type="dxa"/>
          <w:left w:w="28" w:type="dxa"/>
          <w:bottom w:w="28" w:type="dxa"/>
          <w:right w:w="28" w:type="dxa"/>
        </w:tblCellMar>
      </w:tblPr>
      <w:tblGrid>
        <w:gridCol w:w="1912"/>
        <w:gridCol w:w="1676"/>
        <w:gridCol w:w="1694"/>
        <w:gridCol w:w="267"/>
        <w:gridCol w:w="591"/>
        <w:gridCol w:w="138"/>
        <w:gridCol w:w="138"/>
        <w:gridCol w:w="138"/>
        <w:gridCol w:w="138"/>
        <w:gridCol w:w="267"/>
        <w:gridCol w:w="591"/>
        <w:gridCol w:w="138"/>
        <w:gridCol w:w="109"/>
        <w:gridCol w:w="796"/>
        <w:gridCol w:w="109"/>
        <w:gridCol w:w="109"/>
        <w:gridCol w:w="109"/>
        <w:gridCol w:w="288"/>
        <w:gridCol w:w="580"/>
        <w:gridCol w:w="148"/>
        <w:gridCol w:w="109"/>
        <w:gridCol w:w="160"/>
      </w:tblGrid>
      <w:tr>
        <w:trPr/>
        <w:tc>
          <w:tcPr>
            <w:tcW w:w="1912"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612" w:type="dxa"/>
            <w:gridSpan w:val="8"/>
            <w:tcBorders/>
          </w:tcPr>
          <w:p>
            <w:pPr>
              <w:pStyle w:val="TableContents"/>
              <w:bidi w:val="0"/>
              <w:spacing w:before="0" w:after="283"/>
              <w:jc w:val="left"/>
              <w:rPr>
                <w:sz w:val="4"/>
                <w:szCs w:val="4"/>
              </w:rPr>
            </w:pPr>
            <w:r>
              <w:rPr>
                <w:sz w:val="4"/>
                <w:szCs w:val="4"/>
              </w:rPr>
            </w:r>
          </w:p>
        </w:tc>
      </w:tr>
      <w:tr>
        <w:trPr/>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accounts, excluding the effects of acquisitions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primarily due to unfavorable changes in working capital accounts. Changes in working capital accounts for the three months ended March 31, 2026 as compared to the three months ended March 31, 2025 were negatively impacted by $137 million paid to settle certain legal matters, including the Aristocrat matter, and higher cash paid for interest and the timing of expenditures, partially offset by the timing of collection of receivables.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increased primarily due to higher capital expenditures related to the timing of investments in Gaming operations. Capital expenditures are composed of investments in systems, equipment and other assets related to contracts, property and equipment, intangible assets and software.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primarily as a result of lower purchases of our outstanding common stock (including CDIs) under our share repurchase program, partially offset by increased debt repayments, net of borrowings. During the three months ended March 31, 2026 and 2025, we paid $22 million and $166 million, respectively, to purchase our common stock (including CDIs) (excluding excise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Credit Agreement and Other Debt</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For additional information regarding our credit agreements and other debt, interest rate risk and interest rate hedging instruments, see Notes 14 and 15 and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7A</w:t>
      </w:r>
      <w:r>
        <w:rPr>
          <w:color w:val="000000"/>
        </w:rPr>
        <w:t xml:space="preserve"> “</w:t>
      </w:r>
      <w:r>
        <w:rPr>
          <w:rFonts w:ascii="Times New Roman;serif" w:hAnsi="Times New Roman;serif"/>
          <w:b w:val="false"/>
          <w:color w:val="000000"/>
          <w:sz w:val="20"/>
        </w:rPr>
        <w:t xml:space="preserve">Disclosures About Market Risk” in our 2025 10-K as well as Notes 10 and 11 and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3</w:t>
      </w:r>
      <w:r>
        <w:rPr>
          <w:color w:val="000000"/>
        </w:rPr>
        <w:t xml:space="preserve"> “</w:t>
      </w:r>
      <w:r>
        <w:rPr>
          <w:rFonts w:ascii="Times New Roman;serif" w:hAnsi="Times New Roman;serif"/>
          <w:b w:val="false"/>
          <w:color w:val="000000"/>
          <w:sz w:val="20"/>
        </w:rPr>
        <w:t>Quantitative and Qualitative Disclosures About Market Risk” below in this Form 10-Q.</w:t>
      </w:r>
    </w:p>
    <w:p>
      <w:pPr>
        <w:pStyle w:val="TextBody"/>
        <w:bidi w:val="0"/>
        <w:spacing w:before="0" w:after="0"/>
        <w:ind w:left="0" w:right="0" w:firstLine="72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did not have any significant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 risk is the risk of loss arising from adverse changes in market rates and prices, such as interest rates, foreign exchange rates and commodity prices. The following describes our financial instruments which expose us to market risk.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face value of long-term debt was $5.2 billion, including $3.1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$31 million. All of our interest rate sensitive financial instruments are held for purposes other than trading.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2022, we entered into interest rate swap contracts to hedge a portion of our interest expense associated with our variable rate debt and effectively fix the interest rate that we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long-term debt and interest rate swap contracts, see Notes 10 and 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as of March 31, 2026.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discussion of our legal proceedings, see Note 15 in this Quarterly Report on Form 10-Q and Note 19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0"/>
        <w:ind w:left="0" w:right="0" w:firstLine="720"/>
        <w:jc w:val="left"/>
        <w:rPr/>
      </w:pPr>
      <w:r>
        <w:rPr>
          <w:rFonts w:ascii="Times New Roman;serif" w:hAnsi="Times New Roman;serif"/>
          <w:b w:val="false"/>
          <w:color w:val="000000"/>
          <w:sz w:val="20"/>
        </w:rPr>
        <w:t xml:space="preserve">There have been no material changes in our risk factors from those disclosed under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Risk Factors” included in our 2025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repurchased 0.2 million shares under our share repurchase program during the three months ended March 31, 2026.</w:t>
      </w:r>
    </w:p>
    <w:tbl>
      <w:tblPr>
        <w:tblW w:w="10205" w:type="dxa"/>
        <w:jc w:val="center"/>
        <w:tblInd w:w="0" w:type="dxa"/>
        <w:tblLayout w:type="fixed"/>
        <w:tblCellMar>
          <w:top w:w="28" w:type="dxa"/>
          <w:left w:w="28" w:type="dxa"/>
          <w:bottom w:w="28" w:type="dxa"/>
          <w:right w:w="28" w:type="dxa"/>
        </w:tblCellMar>
      </w:tblPr>
      <w:tblGrid>
        <w:gridCol w:w="384"/>
        <w:gridCol w:w="338"/>
        <w:gridCol w:w="339"/>
        <w:gridCol w:w="122"/>
        <w:gridCol w:w="122"/>
        <w:gridCol w:w="122"/>
        <w:gridCol w:w="470"/>
        <w:gridCol w:w="470"/>
        <w:gridCol w:w="472"/>
        <w:gridCol w:w="122"/>
        <w:gridCol w:w="122"/>
        <w:gridCol w:w="122"/>
        <w:gridCol w:w="340"/>
        <w:gridCol w:w="993"/>
        <w:gridCol w:w="175"/>
        <w:gridCol w:w="122"/>
        <w:gridCol w:w="122"/>
        <w:gridCol w:w="122"/>
        <w:gridCol w:w="426"/>
        <w:gridCol w:w="820"/>
        <w:gridCol w:w="223"/>
        <w:gridCol w:w="122"/>
        <w:gridCol w:w="122"/>
        <w:gridCol w:w="122"/>
        <w:gridCol w:w="831"/>
        <w:gridCol w:w="1838"/>
        <w:gridCol w:w="622"/>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for price per share)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 PURCHASES OF EQUITY SECURITIES</w:t>
            </w:r>
          </w:p>
        </w:tc>
      </w:tr>
      <w:tr>
        <w:trPr/>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Shares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Purchased as Part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Publicly Announced</w:t>
            </w:r>
          </w:p>
          <w:p>
            <w:pPr>
              <w:pStyle w:val="TableContents"/>
              <w:bidi w:val="0"/>
              <w:spacing w:lineRule="auto" w:line="240" w:before="0" w:after="0"/>
              <w:jc w:val="center"/>
              <w:rPr/>
            </w:pPr>
            <w:r>
              <w:rPr>
                <w:rFonts w:ascii="Times New Roman;serif" w:hAnsi="Times New Roman;serif"/>
                <w:b/>
                <w:color w:val="000000"/>
                <w:sz w:val="18"/>
              </w:rPr>
              <w:t>Programs</w:t>
            </w:r>
            <w:r>
              <w:rPr>
                <w:rFonts w:ascii="Times New Roman;serif" w:hAnsi="Times New Roman;serif"/>
                <w:b/>
                <w:color w:val="000000"/>
                <w:sz w:val="12"/>
              </w:rPr>
              <w:t>(1)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Cost of Repurchase </w:t>
            </w:r>
          </w:p>
          <w:p>
            <w:pPr>
              <w:pStyle w:val="TableContents"/>
              <w:bidi w:val="0"/>
              <w:spacing w:lineRule="auto" w:line="240" w:before="0" w:after="0"/>
              <w:jc w:val="center"/>
              <w:rPr/>
            </w:pPr>
            <w:r>
              <w:rPr>
                <w:rFonts w:ascii="Times New Roman;serif" w:hAnsi="Times New Roman;serif"/>
                <w:b/>
                <w:color w:val="000000"/>
                <w:sz w:val="18"/>
              </w:rPr>
              <w:t>(in millions)</w:t>
            </w:r>
            <w:r>
              <w:rPr>
                <w:rFonts w:ascii="Times New Roman;serif" w:hAnsi="Times New Roman;serif"/>
                <w:b/>
                <w:color w:val="000000"/>
                <w:sz w:val="12"/>
              </w:rPr>
              <w:t>(2)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Approximate Dollar Value of Shares that May Yet Be Purchased Under the Programs (in millions)</w:t>
            </w:r>
            <w:r>
              <w:rPr>
                <w:rFonts w:ascii="Times New Roman;serif" w:hAnsi="Times New Roman;serif"/>
                <w:b/>
                <w:color w:val="000000"/>
                <w:sz w:val="12"/>
              </w:rPr>
              <w:t>(2)</w:t>
            </w:r>
          </w:p>
        </w:tc>
      </w:tr>
      <w:tr>
        <w:trPr/>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1/1/2026 - 1/31/2026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2/1/2026 - 2/28/2026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3/1/2026 - 3/31/2026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9144" w:type="dxa"/>
            <w:gridSpan w:val="24"/>
            <w:tcBorders/>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On June 11, 2024, the Board approved a new share repurchase program under which the Company was authorized to repurchase from time to time through June 12, 2027, up to an aggregate amount of $1.0 billion in shares of our common stock (including CDIs). On July 31, 2025, the Board approved an increase of such share repurchase program from $1.0 billion to $1.5 billion.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Average price paid per share is calculated on a settlement basis and excludes excise tax. As of January 1, 2023, our share repurchases in excess of issuances are subject to a 1% excise tax enacted by the Inflation Reduction Act, resulting in no excise tax recorded as of March 31, 2026, as share issuances exceeded repurchases. Any excise tax incurred is recognized in stockholders’ equity as part of the cost basis of the shares acquired.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 and Policies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March 31, 2026, no director or officer of the Company adopted or terminated a “Rule 10b5-1 trading arrangement” as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37"/>
        <w:gridCol w:w="296"/>
        <w:gridCol w:w="297"/>
        <w:gridCol w:w="109"/>
        <w:gridCol w:w="109"/>
        <w:gridCol w:w="109"/>
        <w:gridCol w:w="2706"/>
        <w:gridCol w:w="2571"/>
        <w:gridCol w:w="3671"/>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Restated Articles of Incorporation of Light &amp; Wonder, Inc., filed with the Secretary of State of the State of Nevada on August 5, 2022 (incorporated by reference to Exhibit 3.1(a) to Light &amp; Wonder, Inc.’s Quarterly Report on Form 10-Q for the quarter ended June 30, 2022).</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Fourth Amended and Restated Bylaws of Light &amp; Wonder, Inc., effective as of November 13, 2025 (incorporated by reference to Exhibit 3.1 to Light &amp; Wonder, Inc.’s Current Report on Form 8-K filed November 14, 2025).</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Amendment No. 4, dated as of January 22, 2026, among Light and Wonder International, Inc., as the borrower, Light &amp; Wonder, Inc., as holdings, the several banks and other financial institutions or entities from time to time parties thereto and JPMorgan Chase Bank, N.A., as administrative agent, collateral agent, issuing lender and swingline lender, which amended the Credit Agreement, dated as of April 14, 2022 (incorporated by reference to Exhibit 10.1 to Light &amp; Wonder, Inc.’s Current Report on Form 8-K filed January 22, 2026).</w:t>
              </w:r>
            </w:hyperlink>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2-amendmenttoemploymen.htm">
              <w:r>
                <w:rPr>
                  <w:rStyle w:val="InternetLink"/>
                  <w:rFonts w:ascii="Times New Roman;serif" w:hAnsi="Times New Roman;serif"/>
                  <w:b w:val="false"/>
                  <w:color w:val="0000FF"/>
                  <w:sz w:val="20"/>
                  <w:u w:val="single"/>
                </w:rPr>
                <w:t>Amendment to Employment Agreement, dated as of May 5, 2026, by and between Light &amp; Wonder, Inc. and Matthew Wilson.*(†)</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3-amendmenttoemploymen.htm">
              <w:r>
                <w:rPr>
                  <w:rStyle w:val="InternetLink"/>
                  <w:rFonts w:ascii="Times New Roman;serif" w:hAnsi="Times New Roman;serif"/>
                  <w:b w:val="false"/>
                  <w:color w:val="0000FF"/>
                  <w:sz w:val="20"/>
                  <w:u w:val="single"/>
                </w:rPr>
                <w:t>Amendment to Employment Agreement, dated as of May 5, 2026, by and between Light &amp; Wonder, Inc. and Oliver Chow.*(†)</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51-letterfromindependen.htm">
              <w:r>
                <w:rPr>
                  <w:rStyle w:val="InternetLink"/>
                  <w:rFonts w:ascii="Times New Roman;serif" w:hAnsi="Times New Roman;serif"/>
                  <w:b w:val="false"/>
                  <w:color w:val="0000FF"/>
                  <w:sz w:val="20"/>
                  <w:u w:val="single"/>
                </w:rPr>
                <w:t>Letter from Deloitte &amp; Touche LLP, Independent Registered Public Accounting Firm, Regarding Unaudited Interim Financial Information.(†)</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q126certificationofc.htm">
              <w:r>
                <w:rPr>
                  <w:rStyle w:val="InternetLink"/>
                  <w:rFonts w:ascii="Times New Roman;serif" w:hAnsi="Times New Roman;serif"/>
                  <w:b w:val="false"/>
                  <w:color w:val="0000FF"/>
                  <w:sz w:val="20"/>
                  <w:u w:val="single"/>
                </w:rPr>
                <w:t>Certification of the Chief Executive Officer of Light &amp; Wonder, Inc. pursuant to Rule 13a-14(a), as adopted pursuant to Section 302 of the Sarbanes-Oxley Act of 2002.(†)</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q126certificationofc.htm">
              <w:r>
                <w:rPr>
                  <w:rStyle w:val="InternetLink"/>
                  <w:rFonts w:ascii="Times New Roman;serif" w:hAnsi="Times New Roman;serif"/>
                  <w:b w:val="false"/>
                  <w:color w:val="0000FF"/>
                  <w:sz w:val="20"/>
                  <w:u w:val="single"/>
                </w:rPr>
                <w:t>Certification of the Chief Financial Officer of Light &amp; Wonder, Inc. pursuant to Rule 13a-14(a), as adopted pursuant to Section 302 of the Sarbanes-Oxley Act of 2002.(†)</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q126certificationofc.htm">
              <w:r>
                <w:rPr>
                  <w:rStyle w:val="InternetLink"/>
                  <w:rFonts w:ascii="Times New Roman;serif" w:hAnsi="Times New Roman;serif"/>
                  <w:b w:val="false"/>
                  <w:color w:val="0000FF"/>
                  <w:sz w:val="20"/>
                  <w:u w:val="single"/>
                </w:rPr>
                <w:t>Certification of the Chief Executive Officer of Light &amp; Wonder, Inc. pursuant to 18 U.S.C. Section 1350, as adopted pursuant to Section 906 of the Sarbanes-Oxley Act of 2002.**</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q126certificationofc.htm">
              <w:r>
                <w:rPr>
                  <w:rStyle w:val="InternetLink"/>
                  <w:rFonts w:ascii="Times New Roman;serif" w:hAnsi="Times New Roman;serif"/>
                  <w:b w:val="false"/>
                  <w:color w:val="0000FF"/>
                  <w:sz w:val="20"/>
                  <w:u w:val="single"/>
                </w:rPr>
                <w:t>Certification of the Chief Financial Officer of Light &amp; Wonder, Inc. pursuant to 18 U.S.C. Section 1350, as adopted pursuant to Section 906 of the Sarbanes-Oxley Act of 2002.**</w:t>
              </w:r>
            </w:hyperlink>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8"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Label Linkbase Document</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contracts and compensation plans and arrangements in which directors and/or executive officers are eligible to participate.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48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9"/>
        <w:gridCol w:w="239"/>
        <w:gridCol w:w="239"/>
        <w:gridCol w:w="239"/>
        <w:gridCol w:w="239"/>
        <w:gridCol w:w="239"/>
        <w:gridCol w:w="1546"/>
        <w:gridCol w:w="1546"/>
        <w:gridCol w:w="2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&amp; WONDER,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145"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Dated:    May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to 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Amendment to Employment Agreement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is made effective as of May 5, 2026 (the “</w:t>
      </w:r>
      <w:r>
        <w:rPr>
          <w:rFonts w:ascii="Times New Roman;serif" w:hAnsi="Times New Roman;serif"/>
          <w:b w:val="false"/>
          <w:color w:val="000000"/>
          <w:sz w:val="22"/>
          <w:u w:val="single"/>
        </w:rPr>
        <w:t>Amendment Effective Date</w:t>
      </w:r>
      <w:r>
        <w:rPr>
          <w:color w:val="000000"/>
        </w:rPr>
        <w:t>”</w:t>
      </w:r>
      <w:r>
        <w:rPr>
          <w:rFonts w:ascii="Times New Roman;serif" w:hAnsi="Times New Roman;serif"/>
          <w:b w:val="false"/>
          <w:color w:val="000000"/>
          <w:sz w:val="22"/>
        </w:rPr>
        <w:t>) by and between Light &amp; Wonder, Inc., a Nevada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Matthew Wilson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and Executive entered into an Employment Agreement dated as of July 6, 2019, which was amended July 24, 2020 and October 10, 2022 (as amended,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in consideration of the premises and the mutual benefits to be derived herefrom and other good and valuable consideration, the receipt and sufficiency of which are hereby acknowledged, the parties agree as follows: </w:t>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Term Extension</w:t>
      </w:r>
      <w:r>
        <w:rPr>
          <w:rFonts w:ascii="Times New Roman;serif" w:hAnsi="Times New Roman;serif"/>
          <w:b w:val="false"/>
          <w:color w:val="000000"/>
          <w:sz w:val="22"/>
        </w:rPr>
        <w:t>. The parties agree that the Term of the Agreement is extended three (3) years from the current expiration date of October 9, 2026 until October 9, 2029. For the avoidance of doubt, the Term shall continue to be subject to automatic renewals per the provisions of Section 1.</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Increase in Base Salary</w:t>
      </w:r>
      <w:r>
        <w:rPr>
          <w:rFonts w:ascii="Times New Roman;serif" w:hAnsi="Times New Roman;serif"/>
          <w:b w:val="false"/>
          <w:color w:val="000000"/>
          <w:sz w:val="22"/>
        </w:rPr>
        <w:t xml:space="preserve">. The Agreement is amended by adding the following sentence to the end of Section 3(a): “Effective as of April 1, 2026, Executive’s base salary increased to one million four hundred thousand U.S. dollars ($1,400,000) per annum.” </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Update to Clause Addressing Equity Treatment at Retirement</w:t>
      </w:r>
      <w:r>
        <w:rPr>
          <w:rFonts w:ascii="Times New Roman;serif" w:hAnsi="Times New Roman;serif"/>
          <w:b w:val="false"/>
          <w:i/>
          <w:color w:val="000000"/>
          <w:sz w:val="22"/>
        </w:rPr>
        <w:t>.</w:t>
      </w:r>
      <w:r>
        <w:rPr>
          <w:color w:val="000000"/>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(a)The following language is removed from the end of Section 3(c):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Equity awards granted pursuant to this Agreement shall be subject to the terms of the Company’s standard form of award agreement under the Incentive Compensation Plan modified to provide that, if Executive remains employed by the Company through the date when he becomes 65 years of age and retires at any time thereafter, any unvested equity held by Executive as of that retirement date shall vest ten days after such retirement, subject to the achievement of any applicable performance criteria; provided that, settlement of any such awards shall be in accordance with Section 4(g).</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(b)The following language is added to the end of Section 3(c):</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all equity awards granted to Executive pursuant to this Agreement will be subject to the Company’s policy on equity vesting upon retirement and otherwise will be subject to the form of award agreement under which the equity grants were made.</w: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Notice to be Given by Executive</w:t>
      </w:r>
      <w:r>
        <w:rPr>
          <w:rFonts w:ascii="Times New Roman;serif" w:hAnsi="Times New Roman;serif"/>
          <w:b w:val="false"/>
          <w:color w:val="000000"/>
          <w:sz w:val="22"/>
        </w:rPr>
        <w:t>. The first sentence of Section 4(a), “Termination by Executive for Other than Good Reason,” is amended to replace 60 days with 6 months.</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2"/>
          <w:u w:val="single"/>
        </w:rPr>
        <w:t>Amendment to Sections 4(e)(iv) and 4(f)(iv)</w:t>
      </w:r>
      <w:r>
        <w:rPr>
          <w:rFonts w:ascii="Times New Roman;serif" w:hAnsi="Times New Roman;serif"/>
          <w:b w:val="false"/>
          <w:color w:val="000000"/>
          <w:sz w:val="22"/>
        </w:rPr>
        <w:t>. Sections 4(e)(iv) and 4(f)(iv) are deleted and replaced with the following: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(iv)    if Executive timely elects to continue medical coverage under the Company’s group health plan in accordance with COBRA, the full monthly premiums for such coverage on a monthly basis until the earlier of: (A) a period of eighteen (18) months has elapsed; or (B) Executive is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eligible for medical coverage under a plan provided by a new employer. In addition, if the eighteen (18) month period set forth in the foregoing sub-section (A) expires before Executive is eligible for medical coverage under a plan provided by a new employer, then the Company shall pay the full monthly premiums for Executive’s medical coverage under a health plan obtained by Executive that is comparable to the Company’s group health plan, until the earlier of a period of six (6) additional months has elapsed (for the avoidance of doubt, until the end of the 24-month period following the date of such termination) or Executive is eligible for medical coverage under a plan provided by a new employer.</w:t>
      </w:r>
    </w:p>
    <w:p>
      <w:pPr>
        <w:pStyle w:val="TextBody"/>
        <w:bidi w:val="0"/>
        <w:spacing w:lineRule="auto" w:line="288"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rPr>
        <w:t>Except as set forth in this Amendment, all terms and conditions of the Agreement shall remain unchanged and in full force and effect in accordance with their terms. All references to the “Agreement” in the Agreement shall refer to the Agreement as amended by this Amendment.</w:t>
      </w:r>
      <w:r>
        <w:rPr>
          <w:color w:val="000000"/>
        </w:rPr>
        <w:t xml:space="preserve"> </w:t>
      </w:r>
      <w:r>
        <w:rPr>
          <w:rFonts w:ascii="Times New Roman;serif" w:hAnsi="Times New Roman;serif"/>
          <w:b w:val="false"/>
          <w:color w:val="000000"/>
          <w:sz w:val="22"/>
        </w:rPr>
        <w:t>Any defined terms used in this Amendment and not defined herein shall have the meaning as set forth in the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rPr>
        <w:t>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parties hereto has duly executed this Amendment as of May 5, 2026.</w:t>
      </w:r>
    </w:p>
    <w:p>
      <w:pPr>
        <w:pStyle w:val="TextBody"/>
        <w:bidi w:val="0"/>
        <w:spacing w:before="0" w:after="0"/>
        <w:jc w:val="both"/>
        <w:rPr/>
      </w:pPr>
      <w:r>
        <w:rPr/>
      </w:r>
    </w:p>
    <w:tbl>
      <w:tblPr>
        <w:tblW w:w="64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2"/>
        <w:gridCol w:w="302"/>
        <w:gridCol w:w="302"/>
        <w:gridCol w:w="302"/>
        <w:gridCol w:w="302"/>
        <w:gridCol w:w="302"/>
        <w:gridCol w:w="1156"/>
        <w:gridCol w:w="1156"/>
        <w:gridCol w:w="16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LIGHT &amp; WONDER,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Roxane Lukas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90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Roxane Lukas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97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EVP and Chief People Capability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Matthew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Matthew Wilson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57"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to 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Amendment to Employment Agreement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is made effective as of May 5, 2026 (the “</w:t>
      </w:r>
      <w:r>
        <w:rPr>
          <w:rFonts w:ascii="Times New Roman;serif" w:hAnsi="Times New Roman;serif"/>
          <w:b w:val="false"/>
          <w:color w:val="000000"/>
          <w:sz w:val="22"/>
          <w:u w:val="single"/>
        </w:rPr>
        <w:t>Amendment Effective Date</w:t>
      </w:r>
      <w:r>
        <w:rPr>
          <w:color w:val="000000"/>
        </w:rPr>
        <w:t>”</w:t>
      </w:r>
      <w:r>
        <w:rPr>
          <w:rFonts w:ascii="Times New Roman;serif" w:hAnsi="Times New Roman;serif"/>
          <w:b w:val="false"/>
          <w:color w:val="000000"/>
          <w:sz w:val="22"/>
        </w:rPr>
        <w:t>) by and between Light &amp; Wonder, Inc., a Nevada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Oliver Chow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and Executive entered into an Employment Agreement dated as of December 13, 2023 (as amended,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in consideration of the premises and the mutual benefits to be derived herefrom and other good and valuable consideration, the receipt and sufficiency of which are hereby acknowledged, the parties agree as follows: </w:t>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Term Extension</w:t>
      </w:r>
      <w:r>
        <w:rPr>
          <w:rFonts w:ascii="Times New Roman;serif" w:hAnsi="Times New Roman;serif"/>
          <w:b w:val="false"/>
          <w:color w:val="000000"/>
          <w:sz w:val="22"/>
        </w:rPr>
        <w:t>. The parties agree that the Term of the Agreement is extended to April 1, 2030. For the avoidance of doubt, the Term shall continue to be subject to automatic renewals per the provisions of Section 1.</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Increase in Base Salary</w:t>
      </w:r>
      <w:r>
        <w:rPr>
          <w:rFonts w:ascii="Times New Roman;serif" w:hAnsi="Times New Roman;serif"/>
          <w:b w:val="false"/>
          <w:color w:val="000000"/>
          <w:sz w:val="22"/>
        </w:rPr>
        <w:t xml:space="preserve">. The Agreement is amended by adding the following sentence to the end of Section 3(a): “Effective as of April 1, 2026, Executive’s base salary increased to $672,750.00 per annum.” </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Notice to be Given by Executive</w:t>
      </w:r>
      <w:r>
        <w:rPr>
          <w:rFonts w:ascii="Times New Roman;serif" w:hAnsi="Times New Roman;serif"/>
          <w:b w:val="false"/>
          <w:color w:val="000000"/>
          <w:sz w:val="22"/>
        </w:rPr>
        <w:t>. The first sentence of Section 4(a), “Termination by Executive for Other than Good Reason,” is amended to replace 60 days with 90 days.</w:t>
      </w:r>
    </w:p>
    <w:p>
      <w:pPr>
        <w:pStyle w:val="TextBody"/>
        <w:bidi w:val="0"/>
        <w:spacing w:lineRule="auto" w:line="288"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rPr>
        <w:t>Except as set forth in this Amendment, all terms and conditions of the Agreement shall remain unchanged and in full force and effect in accordance with their terms. All references to the “Agreement” in the Agreement shall refer to the Agreement as amended by this Amendment. Any defined terms used in this Amendment and not defined herein shall have the meaning as set forth in the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rPr>
        <w:t>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parties hereto has duly executed this Amendment as of May 5, 2026.</w:t>
      </w:r>
    </w:p>
    <w:p>
      <w:pPr>
        <w:pStyle w:val="TextBody"/>
        <w:bidi w:val="0"/>
        <w:spacing w:before="0" w:after="0"/>
        <w:jc w:val="both"/>
        <w:rPr/>
      </w:pPr>
      <w:r>
        <w:rPr/>
      </w:r>
    </w:p>
    <w:tbl>
      <w:tblPr>
        <w:tblW w:w="64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2"/>
        <w:gridCol w:w="302"/>
        <w:gridCol w:w="302"/>
        <w:gridCol w:w="302"/>
        <w:gridCol w:w="302"/>
        <w:gridCol w:w="302"/>
        <w:gridCol w:w="1156"/>
        <w:gridCol w:w="1156"/>
        <w:gridCol w:w="16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LIGHT &amp; WONDER,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Roxane Lukas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90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Roxane Lukas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97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EVP and Chief People Capability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Oliver Chow</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15.1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8"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May 6,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To the Board of Directors and Stockholders of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Light &amp; Wonder, Inc.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We are aware that our report dated May 6, 2026, on our review of the interim financial information of Light &amp; Wonder, Inc. appearing in this Quarterly Report on Form 10-Q for the quarter ended March 31, 2026, is incorporated by reference in Registration Statement Nos. 333-05811, 333-44983, 333-110141, 333-134043, 333-157638, 333-161232, 333-191817, 333-197948, 333-200463, 333-213432, 333-213434, 333-232987, 333-263188, and 333-275135 on Form S-8 and Nos. 333-74590, 333-84742, 333-110477, 333-112452, 333-124107, 333-141720, 333-155346-0, and 333-165743 on Form S-3.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/s/ Deloitte &amp; Touche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by Chief Executive Officer Pursuant to Section 302 of the Sarbanes-Oxley Act of 2002</w:t>
      </w:r>
    </w:p>
    <w:p>
      <w:pPr>
        <w:pStyle w:val="TextBody"/>
        <w:bidi w:val="0"/>
        <w:spacing w:before="0" w:after="0"/>
        <w:jc w:val="center"/>
        <w:rPr/>
      </w:pPr>
      <w:r>
        <w:rPr/>
      </w:r>
    </w:p>
    <w:p>
      <w:pPr>
        <w:pStyle w:val="TextBody"/>
        <w:bidi w:val="0"/>
        <w:spacing w:lineRule="auto" w:line="288" w:before="0" w:after="3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 Matthew R. Wilson, certify that: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Light &amp; Wonder, Inc.;</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084" w:type="dxa"/>
        <w:jc w:val="left"/>
        <w:tblInd w:w="0" w:type="dxa"/>
        <w:tblLayout w:type="fixed"/>
        <w:tblCellMar>
          <w:top w:w="28" w:type="dxa"/>
          <w:left w:w="28" w:type="dxa"/>
          <w:bottom w:w="28" w:type="dxa"/>
          <w:right w:w="28" w:type="dxa"/>
        </w:tblCellMar>
      </w:tblPr>
      <w:tblGrid>
        <w:gridCol w:w="666"/>
        <w:gridCol w:w="585"/>
        <w:gridCol w:w="833"/>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R. Wilson</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R. Wilson</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Certification by Chief Financial Officer Pursuant to Section 302 of the Sarbanes-Oxley Act of 2002</w:t>
      </w:r>
    </w:p>
    <w:p>
      <w:pPr>
        <w:pStyle w:val="TextBody"/>
        <w:bidi w:val="0"/>
        <w:spacing w:before="0" w:after="0"/>
        <w:ind w:left="0" w:right="0" w:firstLine="450"/>
        <w:jc w:val="left"/>
        <w:rPr/>
      </w:pPr>
      <w:r>
        <w:rPr/>
      </w:r>
    </w:p>
    <w:p>
      <w:pPr>
        <w:pStyle w:val="TextBody"/>
        <w:bidi w:val="0"/>
        <w:spacing w:lineRule="auto" w:line="288" w:before="0" w:after="3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 Oliver Chow, certify that:</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Light &amp; Wonder, Inc.;</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025" w:type="dxa"/>
        <w:jc w:val="left"/>
        <w:tblInd w:w="0" w:type="dxa"/>
        <w:tblLayout w:type="fixed"/>
        <w:tblCellMar>
          <w:top w:w="28" w:type="dxa"/>
          <w:left w:w="28" w:type="dxa"/>
          <w:bottom w:w="28" w:type="dxa"/>
          <w:right w:w="28" w:type="dxa"/>
        </w:tblCellMar>
      </w:tblPr>
      <w:tblGrid>
        <w:gridCol w:w="646"/>
        <w:gridCol w:w="567"/>
        <w:gridCol w:w="812"/>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erif" w:hAnsi="Times New Roman;serif"/>
                <w:b w:val="false"/>
                <w:color w:val="000000"/>
                <w:sz w:val="20"/>
              </w:rPr>
              <w:t>/s/ Oliver Chow</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erif" w:hAnsi="Times New Roman;serif"/>
                <w:b w:val="false"/>
                <w:color w:val="000000"/>
                <w:sz w:val="20"/>
              </w:rPr>
              <w:t>Oliver Chow</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Light &amp; Wonder, Inc. (the “Company”) for the period ended March 31, 2026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pStyle w:val="TextBody"/>
        <w:bidi w:val="0"/>
        <w:spacing w:before="0" w:after="0"/>
        <w:ind w:left="0" w:right="0" w:firstLine="405"/>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0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Light &amp; Wonder, Inc. (the “Company”) for the period ended March 31, 2026 as filed with the Securities and Exchange Commission on the date hereof (the “Report”), I, Oliver Chow, Chief Financial Officer of the Company, certify, pursuant to 18 U.S.C. §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352" w:type="dxa"/>
        <w:jc w:val="left"/>
        <w:tblInd w:w="0" w:type="dxa"/>
        <w:tblLayout w:type="fixed"/>
        <w:tblCellMar>
          <w:top w:w="28" w:type="dxa"/>
          <w:left w:w="28" w:type="dxa"/>
          <w:bottom w:w="28" w:type="dxa"/>
          <w:right w:w="28" w:type="dxa"/>
        </w:tblCellMar>
      </w:tblPr>
      <w:tblGrid>
        <w:gridCol w:w="124"/>
        <w:gridCol w:w="109"/>
        <w:gridCol w:w="109"/>
        <w:gridCol w:w="586"/>
        <w:gridCol w:w="586"/>
        <w:gridCol w:w="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750004/000075000422000025/ex31arestatedarticlesofinc.htm" TargetMode="External"/><Relationship Id="rId14" Type="http://schemas.openxmlformats.org/officeDocument/2006/relationships/hyperlink" Target="https://www.sec.gov/Archives/edgar/data/750004/000095015725000949/ex3-1.htm" TargetMode="External"/><Relationship Id="rId15" Type="http://schemas.openxmlformats.org/officeDocument/2006/relationships/hyperlink" Target="https://www.sec.gov/Archives/edgar/data/750004/000110465926005821/tm263809d1_ex10-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22514</Words>
  <Characters>121917</Characters>
  <CharactersWithSpaces>142730</CharactersWithSpaces>
  <Paragraphs>2595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