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6" w:lineRule="exact"/>
        <w:rPr>
          <w:sz w:val="24"/>
          <w:szCs w:val="24"/>
          <w:color w:val="auto"/>
        </w:rPr>
      </w:pPr>
    </w:p>
    <w:p>
      <w:pPr>
        <w:ind w:right="460" w:firstLine="53"/>
        <w:spacing w:after="0" w:line="260" w:lineRule="auto"/>
        <w:tabs>
          <w:tab w:leader="none" w:pos="29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right="500" w:firstLine="8"/>
        <w:spacing w:after="0" w:line="263" w:lineRule="auto"/>
        <w:tabs>
          <w:tab w:leader="none" w:pos="249"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862" w:right="319" w:bottom="1440" w:gutter="0" w:footer="0" w:header="0"/>
        </w:sectPr>
      </w:pPr>
    </w:p>
    <w:p>
      <w:pPr>
        <w:spacing w:after="0" w:line="86"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81-0422894</w:t>
      </w:r>
    </w:p>
    <w:p>
      <w:pPr>
        <w:spacing w:after="0" w:line="69" w:lineRule="exact"/>
        <w:rPr>
          <w:sz w:val="24"/>
          <w:szCs w:val="24"/>
          <w:color w:val="auto"/>
        </w:rPr>
      </w:pPr>
    </w:p>
    <w:p>
      <w:pPr>
        <w:sectPr>
          <w:pgSz w:w="11900" w:h="16838" w:orient="portrait"/>
          <w:cols w:equalWidth="0" w:num="2">
            <w:col w:w="7280" w:space="720"/>
            <w:col w:w="3260"/>
          </w:cols>
          <w:pgMar w:left="320" w:top="862" w:right="31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6" w:lineRule="exact"/>
        <w:rPr>
          <w:sz w:val="24"/>
          <w:szCs w:val="24"/>
          <w:color w:val="auto"/>
        </w:rPr>
      </w:pPr>
    </w:p>
    <w:p>
      <w:pPr>
        <w:sectPr>
          <w:pgSz w:w="11900" w:h="16838" w:orient="portrait"/>
          <w:cols w:equalWidth="0" w:num="2">
            <w:col w:w="6540" w:space="720"/>
            <w:col w:w="4000"/>
          </w:cols>
          <w:pgMar w:left="320" w:top="862" w:right="31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6"/>
          <w:szCs w:val="16"/>
          <w:color w:val="auto"/>
        </w:rPr>
        <w:t>incorporation or organization)</w:t>
      </w:r>
    </w:p>
    <w:p>
      <w:pPr>
        <w:sectPr>
          <w:pgSz w:w="11900" w:h="16838" w:orient="portrait"/>
          <w:cols w:equalWidth="0" w:num="1">
            <w:col w:w="11260"/>
          </w:cols>
          <w:pgMar w:left="320" w:top="862" w:right="319" w:bottom="1440" w:gutter="0" w:footer="0" w:header="0"/>
          <w:type w:val="continuous"/>
        </w:sectPr>
      </w:pPr>
    </w:p>
    <w:p>
      <w:pPr>
        <w:spacing w:after="0" w:line="36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6601 Bermuda Road, Las Vegas, Nevada 89119</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(Zip Code)</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(702) 897-7150</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Name of each exchange on which registered</w:t>
            </w:r>
          </w:p>
        </w:tc>
      </w:tr>
      <w:tr>
        <w:trPr>
          <w:trHeight w:val="25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Common Stock, $.001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LNW</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The NASDAQ Stock Market</w:t>
            </w:r>
          </w:p>
        </w:tc>
      </w:tr>
      <w:tr>
        <w:trPr>
          <w:trHeight w:val="25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Preferred Stock Purchase Rights</w:t>
            </w:r>
          </w:p>
        </w:tc>
        <w:tc>
          <w:tcPr>
            <w:tcW w:w="2760" w:type="dxa"/>
            <w:vAlign w:val="bottom"/>
            <w:tcBorders>
              <w:bottom w:val="single" w:sz="8" w:color="auto"/>
              <w:right w:val="single" w:sz="8" w:color="auto"/>
            </w:tcBorders>
          </w:tcPr>
          <w:p>
            <w:pPr>
              <w:spacing w:after="0"/>
              <w:rPr>
                <w:sz w:val="21"/>
                <w:szCs w:val="21"/>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The NASDAQ Stock Market</w:t>
            </w:r>
          </w:p>
        </w:tc>
      </w:tr>
    </w:tbl>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p>
    <w:p>
      <w:pPr>
        <w:spacing w:after="0" w:line="9" w:lineRule="exact"/>
        <w:rPr>
          <w:sz w:val="24"/>
          <w:szCs w:val="24"/>
          <w:color w:val="auto"/>
        </w:rPr>
      </w:pPr>
    </w:p>
    <w:p>
      <w:pPr>
        <w:jc w:val="center"/>
        <w:ind w:righ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17" w:lineRule="exact"/>
        <w:rPr>
          <w:sz w:val="24"/>
          <w:szCs w:val="24"/>
          <w:color w:val="auto"/>
        </w:rPr>
      </w:pPr>
    </w:p>
    <w:p>
      <w:pPr>
        <w:jc w:val="cente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Act.</w:t>
      </w:r>
    </w:p>
    <w:p>
      <w:pPr>
        <w:sectPr>
          <w:pgSz w:w="11900" w:h="16838" w:orient="portrait"/>
          <w:cols w:equalWidth="0" w:num="1">
            <w:col w:w="11260"/>
          </w:cols>
          <w:pgMar w:left="320" w:top="862" w:right="319" w:bottom="1440" w:gutter="0" w:footer="0" w:header="0"/>
          <w:type w:val="continuous"/>
        </w:sectPr>
      </w:pPr>
    </w:p>
    <w:p>
      <w:pPr>
        <w:spacing w:after="0" w:line="9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4580" w:space="720"/>
            <w:col w:w="800" w:space="720"/>
            <w:col w:w="1760" w:space="720"/>
            <w:col w:w="1960"/>
          </w:cols>
          <w:pgMar w:left="320" w:top="862" w:right="319" w:bottom="1440" w:gutter="0" w:footer="0" w:header="0"/>
          <w:type w:val="continuous"/>
        </w:sectPr>
      </w:pPr>
    </w:p>
    <w:p>
      <w:pPr>
        <w:spacing w:after="0" w:line="26"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4580" w:space="720"/>
            <w:col w:w="460" w:space="720"/>
            <w:col w:w="2100" w:space="720"/>
            <w:col w:w="1960"/>
          </w:cols>
          <w:pgMar w:left="320" w:top="862" w:right="319" w:bottom="1440" w:gutter="0" w:footer="0" w:header="0"/>
          <w:type w:val="continuous"/>
        </w:sectPr>
      </w:pPr>
    </w:p>
    <w:p>
      <w:pPr>
        <w:jc w:val="center"/>
        <w:ind w:right="50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60"/>
          </w:cols>
          <w:pgMar w:left="320" w:top="862" w:right="31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ind w:right="28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45"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registrant has the following number of shares outstanding of each of the registrant’s classes of common stock as of August 5, 2022:</w:t>
      </w:r>
    </w:p>
    <w:p>
      <w:pPr>
        <w:spacing w:after="0" w:line="46"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color w:val="auto"/>
        </w:rPr>
        <w:t>Common Stock: 94,329,699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62"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4"/>
              </w:rPr>
              <w:t>PART I.</w:t>
            </w:r>
          </w:p>
        </w:tc>
        <w:tc>
          <w:tcPr>
            <w:tcW w:w="180" w:type="dxa"/>
            <w:vAlign w:val="bottom"/>
            <w:gridSpan w:val="2"/>
            <w:vMerge w:val="restart"/>
          </w:tcPr>
          <w:p>
            <w:pPr>
              <w:spacing w:after="0"/>
              <w:rPr>
                <w:sz w:val="2"/>
                <w:szCs w:val="2"/>
                <w:color w:val="auto"/>
              </w:rPr>
            </w:pPr>
          </w:p>
        </w:tc>
        <w:tc>
          <w:tcPr>
            <w:tcW w:w="2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320" w:type="dxa"/>
            <w:vAlign w:val="bottom"/>
            <w:gridSpan w:val="10"/>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Borders>
              <w:bottom w:val="single" w:sz="8" w:color="0000FF"/>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8"/>
            <w:vMerge w:val="continue"/>
          </w:tcPr>
          <w:p>
            <w:pPr>
              <w:spacing w:after="0"/>
              <w:rPr>
                <w:sz w:val="14"/>
                <w:szCs w:val="14"/>
                <w:color w:val="auto"/>
              </w:rPr>
            </w:pPr>
          </w:p>
        </w:tc>
        <w:tc>
          <w:tcPr>
            <w:tcW w:w="7320" w:type="dxa"/>
            <w:vAlign w:val="bottom"/>
            <w:gridSpan w:val="10"/>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1.</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3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Six Months Ended June 30, 2022 and 2021</w:t>
            </w:r>
          </w:p>
        </w:tc>
        <w:tc>
          <w:tcPr>
            <w:tcW w:w="2160" w:type="dxa"/>
            <w:vAlign w:val="bottom"/>
            <w:gridSpan w:val="3"/>
          </w:tcPr>
          <w:p>
            <w:pPr>
              <w:spacing w:after="0"/>
              <w:rPr>
                <w:sz w:val="24"/>
                <w:szCs w:val="24"/>
                <w:color w:val="auto"/>
              </w:rPr>
            </w:pPr>
          </w:p>
        </w:tc>
        <w:tc>
          <w:tcPr>
            <w:tcW w:w="3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and Six Months Ended June 30, 2022 and 2021</w:t>
            </w:r>
          </w:p>
        </w:tc>
        <w:tc>
          <w:tcPr>
            <w:tcW w:w="1240" w:type="dxa"/>
            <w:vAlign w:val="bottom"/>
          </w:tcPr>
          <w:p>
            <w:pPr>
              <w:spacing w:after="0"/>
              <w:rPr>
                <w:sz w:val="24"/>
                <w:szCs w:val="24"/>
                <w:color w:val="auto"/>
              </w:rPr>
            </w:pPr>
          </w:p>
        </w:tc>
        <w:tc>
          <w:tcPr>
            <w:tcW w:w="3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2022 and December 31, 2021</w:t>
            </w:r>
          </w:p>
        </w:tc>
        <w:tc>
          <w:tcPr>
            <w:tcW w:w="2880" w:type="dxa"/>
            <w:vAlign w:val="bottom"/>
            <w:gridSpan w:val="4"/>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2022 and 2021</w:t>
            </w:r>
          </w:p>
        </w:tc>
        <w:tc>
          <w:tcPr>
            <w:tcW w:w="5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2.</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3.</w:t>
            </w:r>
          </w:p>
        </w:tc>
        <w:tc>
          <w:tcPr>
            <w:tcW w:w="43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1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80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8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0000FF"/>
                <w:w w:val="95"/>
              </w:rPr>
              <w:t>PART II.</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Item 1.</w:t>
            </w:r>
          </w:p>
        </w:tc>
        <w:tc>
          <w:tcPr>
            <w:tcW w:w="16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FF"/>
            </w:tcBorders>
            <w:gridSpan w:val="2"/>
          </w:tcPr>
          <w:p>
            <w:pPr>
              <w:spacing w:after="0"/>
              <w:rPr>
                <w:sz w:val="24"/>
                <w:szCs w:val="24"/>
                <w:color w:val="auto"/>
              </w:rPr>
            </w:pPr>
          </w:p>
        </w:tc>
        <w:tc>
          <w:tcPr>
            <w:tcW w:w="768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0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color w:val="auto"/>
                <w:w w:val="99"/>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66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2.</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2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3.</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452"/>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726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FF"/>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60" w:type="dxa"/>
            <w:vAlign w:val="bottom"/>
            <w:gridSpan w:val="1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Item 6.</w:t>
            </w:r>
          </w:p>
        </w:tc>
        <w:tc>
          <w:tcPr>
            <w:tcW w:w="95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912"/>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860" w:type="dxa"/>
            <w:vAlign w:val="bottom"/>
            <w:gridSpan w:val="11"/>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6"/>
          <w:szCs w:val="16"/>
          <w:b w:val="1"/>
          <w:b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terms or acronyms used in this Quarterly Report on Form 10-Q are defined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Term or Acronym</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25"/>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0" w:type="dxa"/>
            <w:vAlign w:val="bottom"/>
            <w:tcBorders>
              <w:top w:val="single" w:sz="8" w:color="CCEEFF"/>
            </w:tcBorders>
            <w:shd w:val="clear" w:color="auto" w:fill="CCEEFF"/>
          </w:tcPr>
          <w:p>
            <w:pPr>
              <w:spacing w:after="0"/>
              <w:rPr>
                <w:sz w:val="19"/>
                <w:szCs w:val="19"/>
                <w:color w:val="auto"/>
              </w:rPr>
            </w:pPr>
          </w:p>
        </w:tc>
        <w:tc>
          <w:tcPr>
            <w:tcW w:w="8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Annual Report on Form 10-K filed with the SEC on March 1, 2022</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secured notes due 2025 issued by SGI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Euro Notes</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secured notes due 2026 issued by SGI</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Euro Notes</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5.500% senior unsecured notes due 2026 issued by SGI</w:t>
            </w:r>
          </w:p>
        </w:tc>
        <w:tc>
          <w:tcPr>
            <w:tcW w:w="0" w:type="dxa"/>
            <w:vAlign w:val="bottom"/>
          </w:tcPr>
          <w:p>
            <w:pPr>
              <w:spacing w:after="0"/>
              <w:rPr>
                <w:sz w:val="1"/>
                <w:szCs w:val="1"/>
                <w:color w:val="auto"/>
              </w:rPr>
            </w:pPr>
          </w:p>
        </w:tc>
      </w:tr>
      <w:tr>
        <w:trPr>
          <w:trHeight w:val="257"/>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unsecured notes due 2025 issued by SGI</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8.250% senior unsecured notes due 2026 issued by SGI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senior unsecured notes due 2028 issued by SGI</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7.250% senior unsecured notes due 2029 issued by SGI</w:t>
            </w: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AEBITDA</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our performance measure of profit or loss for our business segments</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On April 14, 2022, we completed a series of refinancing transactions, which included (1) entering into a new credit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agreement consisting of a (a) $2,200 million new term loan facility maturing in April 2029 and (b) $750 million new</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revolving credit facility maturing in April 2027, along with (2) using the net proceeds from the divestiture of the</w:t>
            </w:r>
          </w:p>
        </w:tc>
        <w:tc>
          <w:tcPr>
            <w:tcW w:w="0" w:type="dxa"/>
            <w:vAlign w:val="bottom"/>
          </w:tcPr>
          <w:p>
            <w:pPr>
              <w:spacing w:after="0"/>
              <w:rPr>
                <w:sz w:val="1"/>
                <w:szCs w:val="1"/>
                <w:color w:val="auto"/>
              </w:rPr>
            </w:pPr>
          </w:p>
        </w:tc>
      </w:tr>
      <w:tr>
        <w:trPr>
          <w:trHeight w:val="189"/>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April 2022 Refinancing</w:t>
            </w:r>
          </w:p>
        </w:tc>
        <w:tc>
          <w:tcPr>
            <w:tcW w:w="8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Lottery Business and net proceeds from borrowings under the new term loan facility to pay off our existing term loan</w:t>
            </w:r>
          </w:p>
        </w:tc>
        <w:tc>
          <w:tcPr>
            <w:tcW w:w="0" w:type="dxa"/>
            <w:vAlign w:val="bottom"/>
          </w:tcPr>
          <w:p>
            <w:pPr>
              <w:spacing w:after="0"/>
              <w:rPr>
                <w:sz w:val="1"/>
                <w:szCs w:val="1"/>
                <w:color w:val="auto"/>
              </w:rPr>
            </w:pPr>
          </w:p>
        </w:tc>
      </w:tr>
      <w:tr>
        <w:trPr>
          <w:trHeight w:val="140"/>
        </w:trPr>
        <w:tc>
          <w:tcPr>
            <w:tcW w:w="2720" w:type="dxa"/>
            <w:vAlign w:val="bottom"/>
            <w:gridSpan w:val="3"/>
            <w:vMerge w:val="continue"/>
          </w:tcPr>
          <w:p>
            <w:pPr>
              <w:spacing w:after="0"/>
              <w:rPr>
                <w:sz w:val="12"/>
                <w:szCs w:val="12"/>
                <w:color w:val="auto"/>
              </w:rPr>
            </w:pPr>
          </w:p>
        </w:tc>
        <w:tc>
          <w:tcPr>
            <w:tcW w:w="8520" w:type="dxa"/>
            <w:vAlign w:val="bottom"/>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facility and to redeem all of our outstanding 5.000% Senior Secured Notes due 2025, 3.375% Senior Secured Euro</w:t>
            </w:r>
          </w:p>
        </w:tc>
        <w:tc>
          <w:tcPr>
            <w:tcW w:w="0" w:type="dxa"/>
            <w:vAlign w:val="bottom"/>
          </w:tcPr>
          <w:p>
            <w:pPr>
              <w:spacing w:after="0"/>
              <w:rPr>
                <w:sz w:val="1"/>
                <w:szCs w:val="1"/>
                <w:color w:val="auto"/>
              </w:rPr>
            </w:pPr>
          </w:p>
        </w:tc>
      </w:tr>
      <w:tr>
        <w:trPr>
          <w:trHeight w:val="49"/>
        </w:trPr>
        <w:tc>
          <w:tcPr>
            <w:tcW w:w="4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Notes due 2026, 5.500% Senior Unsecured Euro Notes due 2026 and 8.250% Senior Unsecured Notes due 2026 and,</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 each case, to pay accrued and unpaid interest thereon plus any related premiums, fees and expenses (see Note 11</w:t>
            </w:r>
          </w:p>
        </w:tc>
        <w:tc>
          <w:tcPr>
            <w:tcW w:w="0" w:type="dxa"/>
            <w:vAlign w:val="bottom"/>
          </w:tcPr>
          <w:p>
            <w:pPr>
              <w:spacing w:after="0"/>
              <w:rPr>
                <w:sz w:val="1"/>
                <w:szCs w:val="1"/>
                <w:color w:val="auto"/>
              </w:rPr>
            </w:pPr>
          </w:p>
        </w:tc>
      </w:tr>
      <w:tr>
        <w:trPr>
          <w:trHeight w:val="241"/>
        </w:trPr>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additional details)</w:t>
            </w:r>
          </w:p>
        </w:tc>
        <w:tc>
          <w:tcPr>
            <w:tcW w:w="0" w:type="dxa"/>
            <w:vAlign w:val="bottom"/>
          </w:tcPr>
          <w:p>
            <w:pPr>
              <w:spacing w:after="0"/>
              <w:rPr>
                <w:sz w:val="1"/>
                <w:szCs w:val="1"/>
                <w:color w:val="auto"/>
              </w:rPr>
            </w:pPr>
          </w:p>
        </w:tc>
      </w:tr>
      <w:tr>
        <w:trPr>
          <w:trHeight w:val="236"/>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CME</w:t>
            </w:r>
          </w:p>
        </w:tc>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0" w:type="dxa"/>
            <w:vAlign w:val="bottom"/>
          </w:tcPr>
          <w:p>
            <w:pPr>
              <w:spacing w:after="0"/>
              <w:rPr>
                <w:sz w:val="1"/>
                <w:szCs w:val="1"/>
                <w:color w:val="auto"/>
              </w:rPr>
            </w:pPr>
          </w:p>
        </w:tc>
      </w:tr>
      <w:tr>
        <w:trPr>
          <w:trHeight w:val="23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casino-management system</w:t>
            </w:r>
          </w:p>
        </w:tc>
        <w:tc>
          <w:tcPr>
            <w:tcW w:w="0" w:type="dxa"/>
            <w:vAlign w:val="bottom"/>
          </w:tcPr>
          <w:p>
            <w:pPr>
              <w:spacing w:after="0"/>
              <w:rPr>
                <w:sz w:val="1"/>
                <w:szCs w:val="1"/>
                <w:color w:val="auto"/>
              </w:rPr>
            </w:pPr>
          </w:p>
        </w:tc>
      </w:tr>
      <w:tr>
        <w:trPr>
          <w:trHeight w:val="188"/>
        </w:trPr>
        <w:tc>
          <w:tcPr>
            <w:tcW w:w="42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Coronavirus disease first identified in 2019 (declared a pandemic by the World Health Organization on March 11,</w:t>
            </w:r>
          </w:p>
        </w:tc>
        <w:tc>
          <w:tcPr>
            <w:tcW w:w="0" w:type="dxa"/>
            <w:vAlign w:val="bottom"/>
          </w:tcPr>
          <w:p>
            <w:pPr>
              <w:spacing w:after="0"/>
              <w:rPr>
                <w:sz w:val="1"/>
                <w:szCs w:val="1"/>
                <w:color w:val="auto"/>
              </w:rPr>
            </w:pPr>
          </w:p>
        </w:tc>
      </w:tr>
      <w:tr>
        <w:trPr>
          <w:trHeight w:val="203"/>
        </w:trPr>
        <w:tc>
          <w:tcPr>
            <w:tcW w:w="27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COVID-19</w:t>
            </w:r>
          </w:p>
        </w:tc>
        <w:tc>
          <w:tcPr>
            <w:tcW w:w="85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2020), the resulting pandemic and the associated impacts on the macroeconomic environment in general and our</w:t>
            </w:r>
          </w:p>
        </w:tc>
        <w:tc>
          <w:tcPr>
            <w:tcW w:w="0" w:type="dxa"/>
            <w:vAlign w:val="bottom"/>
          </w:tcPr>
          <w:p>
            <w:pPr>
              <w:spacing w:after="0"/>
              <w:rPr>
                <w:sz w:val="1"/>
                <w:szCs w:val="1"/>
                <w:color w:val="auto"/>
              </w:rPr>
            </w:pPr>
          </w:p>
        </w:tc>
      </w:tr>
      <w:tr>
        <w:trPr>
          <w:trHeight w:val="248"/>
        </w:trPr>
        <w:tc>
          <w:tcPr>
            <w:tcW w:w="4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environment specifically</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D&amp;A</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impairments (excluding goodwill)</w:t>
            </w:r>
          </w:p>
        </w:tc>
        <w:tc>
          <w:tcPr>
            <w:tcW w:w="0" w:type="dxa"/>
            <w:vAlign w:val="bottom"/>
          </w:tcPr>
          <w:p>
            <w:pPr>
              <w:spacing w:after="0"/>
              <w:rPr>
                <w:sz w:val="1"/>
                <w:szCs w:val="1"/>
                <w:color w:val="auto"/>
              </w:rPr>
            </w:pPr>
          </w:p>
        </w:tc>
      </w:tr>
      <w:tr>
        <w:trPr>
          <w:trHeight w:val="229"/>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FOBT</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odds betting terminal</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KPIs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Performance Indicators</w:t>
            </w:r>
          </w:p>
        </w:tc>
        <w:tc>
          <w:tcPr>
            <w:tcW w:w="0" w:type="dxa"/>
            <w:vAlign w:val="bottom"/>
          </w:tcPr>
          <w:p>
            <w:pPr>
              <w:spacing w:after="0"/>
              <w:rPr>
                <w:sz w:val="1"/>
                <w:szCs w:val="1"/>
                <w:color w:val="auto"/>
              </w:rPr>
            </w:pPr>
          </w:p>
        </w:tc>
      </w:tr>
      <w:tr>
        <w:trPr>
          <w:trHeight w:val="229"/>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L&amp;W</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&amp; Wonder, Inc.</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LBO</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betting office</w:t>
            </w:r>
          </w:p>
        </w:tc>
        <w:tc>
          <w:tcPr>
            <w:tcW w:w="0" w:type="dxa"/>
            <w:vAlign w:val="bottom"/>
          </w:tcPr>
          <w:p>
            <w:pPr>
              <w:spacing w:after="0"/>
              <w:rPr>
                <w:sz w:val="1"/>
                <w:szCs w:val="1"/>
                <w:color w:val="auto"/>
              </w:rPr>
            </w:pPr>
          </w:p>
        </w:tc>
      </w:tr>
      <w:tr>
        <w:trPr>
          <w:trHeight w:val="230"/>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Our prior operating business segment that provided instant and draw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lottery products, lottery systems and</w:t>
            </w:r>
          </w:p>
        </w:tc>
        <w:tc>
          <w:tcPr>
            <w:tcW w:w="0" w:type="dxa"/>
            <w:vAlign w:val="bottom"/>
          </w:tcPr>
          <w:p>
            <w:pPr>
              <w:spacing w:after="0"/>
              <w:rPr>
                <w:sz w:val="1"/>
                <w:szCs w:val="1"/>
                <w:color w:val="auto"/>
              </w:rPr>
            </w:pPr>
          </w:p>
        </w:tc>
      </w:tr>
      <w:tr>
        <w:trPr>
          <w:trHeight w:val="203"/>
        </w:trPr>
        <w:tc>
          <w:tcPr>
            <w:tcW w:w="27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Lottery Business</w:t>
            </w:r>
          </w:p>
        </w:tc>
        <w:tc>
          <w:tcPr>
            <w:tcW w:w="8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lottery content and services to lottery operators wagering solutions to various gaming entities. This business segment</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 divested during the second quarter of 2022 and is included in discontinued operations in our financial statements</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240"/>
          </w:cols>
          <w:pgMar w:left="320" w:top="772" w:right="339" w:bottom="1440" w:gutter="0" w:footer="0" w:header="0"/>
        </w:sectPr>
      </w:pP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Participation</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Pending Divestiture</w:t>
      </w:r>
    </w:p>
    <w:p>
      <w:pPr>
        <w:spacing w:after="0" w:line="20" w:lineRule="exact"/>
        <w:rPr>
          <w:sz w:val="20"/>
          <w:szCs w:val="20"/>
          <w:color w:val="auto"/>
        </w:rPr>
      </w:pPr>
      <w:r>
        <w:rPr>
          <w:sz w:val="20"/>
          <w:szCs w:val="20"/>
          <w:color w:val="auto"/>
        </w:rPr>
        <w:br w:type="column"/>
      </w:r>
    </w:p>
    <w:p>
      <w:pPr>
        <w:ind w:right="200"/>
        <w:spacing w:after="0" w:line="237" w:lineRule="auto"/>
        <w:rPr>
          <w:sz w:val="20"/>
          <w:szCs w:val="20"/>
          <w:color w:val="auto"/>
        </w:rPr>
      </w:pPr>
      <w:r>
        <w:rPr>
          <w:rFonts w:ascii="Times New Roman" w:cs="Times New Roman" w:eastAsia="Times New Roman" w:hAnsi="Times New Roman"/>
          <w:sz w:val="18"/>
          <w:szCs w:val="18"/>
          <w:color w:val="auto"/>
        </w:rPr>
        <w:t>a note in the Notes to Condensed Consolidated Financial Statements in this Quarterly Report on Form 10-Q,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-255905</wp:posOffset>
            </wp:positionV>
            <wp:extent cx="7132320"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60"/>
        <w:spacing w:after="0" w:line="222" w:lineRule="auto"/>
        <w:rPr>
          <w:sz w:val="20"/>
          <w:szCs w:val="20"/>
          <w:color w:val="auto"/>
        </w:rPr>
      </w:pPr>
      <w:r>
        <w:rPr>
          <w:rFonts w:ascii="Times New Roman" w:cs="Times New Roman" w:eastAsia="Times New Roman" w:hAnsi="Times New Roman"/>
          <w:sz w:val="18"/>
          <w:szCs w:val="18"/>
          <w:color w:val="auto"/>
        </w:rPr>
        <w:t>refers to gaming machines provided to customers through service or leasing arrangements in which we earn revenues and are paid based on: (1) a percentage of the amount wagered less payouts; (2) fixed daily-fees; (3) a percentage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or (4) a combination of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4445</wp:posOffset>
            </wp:positionV>
            <wp:extent cx="71323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right="60"/>
        <w:spacing w:after="0" w:line="233" w:lineRule="auto"/>
        <w:rPr>
          <w:sz w:val="20"/>
          <w:szCs w:val="20"/>
          <w:color w:val="auto"/>
        </w:rPr>
      </w:pPr>
      <w:r>
        <w:rPr>
          <w:rFonts w:ascii="Times New Roman" w:cs="Times New Roman" w:eastAsia="Times New Roman" w:hAnsi="Times New Roman"/>
          <w:sz w:val="17"/>
          <w:szCs w:val="17"/>
          <w:color w:val="auto"/>
        </w:rPr>
        <w:t>the intended sale of our Sports Betting Business, which is expected to be completed in the third quarter of 2022, subject to applicable regulatory approvals and other customary closing conditions. See Notes 1 and 2 in this form 10-</w:t>
      </w:r>
    </w:p>
    <w:p>
      <w:pPr>
        <w:spacing w:after="0"/>
        <w:rPr>
          <w:sz w:val="20"/>
          <w:szCs w:val="20"/>
          <w:color w:val="auto"/>
        </w:rPr>
      </w:pPr>
      <w:r>
        <w:rPr>
          <w:rFonts w:ascii="Times New Roman" w:cs="Times New Roman" w:eastAsia="Times New Roman" w:hAnsi="Times New Roman"/>
          <w:sz w:val="18"/>
          <w:szCs w:val="18"/>
          <w:color w:val="auto"/>
        </w:rPr>
        <w:t>Q and Notes 1 and 2 in our 2021 10-K</w:t>
      </w:r>
    </w:p>
    <w:p>
      <w:pPr>
        <w:spacing w:after="0" w:line="7" w:lineRule="exact"/>
        <w:rPr>
          <w:sz w:val="20"/>
          <w:szCs w:val="20"/>
          <w:color w:val="auto"/>
        </w:rPr>
      </w:pPr>
    </w:p>
    <w:p>
      <w:pPr>
        <w:sectPr>
          <w:pgSz w:w="11900" w:h="16838" w:orient="portrait"/>
          <w:cols w:equalWidth="0" w:num="2">
            <w:col w:w="2020" w:space="720"/>
            <w:col w:w="8500"/>
          </w:cols>
          <w:pgMar w:left="320" w:top="772"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3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RMG</w:t>
            </w:r>
          </w:p>
        </w:tc>
        <w:tc>
          <w:tcPr>
            <w:tcW w:w="93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real-money gaming</w:t>
            </w:r>
          </w:p>
        </w:tc>
      </w:tr>
      <w:tr>
        <w:trPr>
          <w:trHeight w:val="23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9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3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3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9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refers to the 2025 Secured Notes and 2026 Secured Euro Notes, collectively</w:t>
            </w:r>
          </w:p>
        </w:tc>
      </w:tr>
      <w:tr>
        <w:trPr>
          <w:trHeight w:val="22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3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the Secured Notes and the Unsecured Notes</w:t>
            </w:r>
          </w:p>
        </w:tc>
      </w:tr>
      <w:tr>
        <w:trPr>
          <w:trHeight w:val="783"/>
        </w:trPr>
        <w:tc>
          <w:tcPr>
            <w:tcW w:w="1900" w:type="dxa"/>
            <w:vAlign w:val="bottom"/>
          </w:tcPr>
          <w:p>
            <w:pPr>
              <w:spacing w:after="0"/>
              <w:rPr>
                <w:sz w:val="24"/>
                <w:szCs w:val="24"/>
                <w:color w:val="auto"/>
              </w:rPr>
            </w:pPr>
          </w:p>
        </w:tc>
        <w:tc>
          <w:tcPr>
            <w:tcW w:w="934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1900" w:type="dxa"/>
            <w:vAlign w:val="bottom"/>
            <w:tcBorders>
              <w:bottom w:val="single" w:sz="8" w:color="9A9A9A"/>
            </w:tcBorders>
          </w:tcPr>
          <w:p>
            <w:pPr>
              <w:spacing w:after="0"/>
              <w:rPr>
                <w:sz w:val="10"/>
                <w:szCs w:val="10"/>
                <w:color w:val="auto"/>
              </w:rPr>
            </w:pPr>
          </w:p>
        </w:tc>
        <w:tc>
          <w:tcPr>
            <w:tcW w:w="9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color w:val="auto"/>
        </w:rPr>
        <w:t>SciPlay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SciPlay Revolver</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SG&amp;A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SGI</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SGI Revolver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SGI Term Loan B</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SGI Term Loan B-5</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Shufflers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SOFR</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Sports Betting Business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Unsecured Notes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GAAP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 jurisdictions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VGT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VLT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SciPlay Corporation, formerly referred to as our Social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26035</wp:posOffset>
            </wp:positionV>
            <wp:extent cx="7132320" cy="29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3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$150 million revolving credit facility agreement entered into by SciPlay Holding Company, LLC, a subsidiary of SciPlay Corporation, that matures in May 2024</w:t>
      </w: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17145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Scientific Games International, Inc., a wholly-owned subsidiary of L&amp;W</w:t>
      </w:r>
    </w:p>
    <w:p>
      <w:pPr>
        <w:spacing w:after="0" w:line="2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Revolving credit facility with aggregate commitments of $750 million extended pursuant to that certain credit agreement, dated as of April 14, 2022, by and among SGI, as the borrower, L&amp;W, as a guarantor, JPMorgan Chase Bank, N.A., as administrative agent, and the lenders and other agents party thereto</w:t>
      </w:r>
    </w:p>
    <w:p>
      <w:pPr>
        <w:spacing w:after="0" w:line="18"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Term loan facility, issued pursuant to that certain credit agreement, dated as of April 14, 2022, by and among SGI, as the borrower, L&amp;W, as a guarantor, JPMorgan Chase Bank, N.A., as administrative agent, and the lenders and other agents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-407035</wp:posOffset>
            </wp:positionV>
            <wp:extent cx="713232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right="240"/>
        <w:spacing w:after="0" w:line="250" w:lineRule="auto"/>
        <w:rPr>
          <w:sz w:val="20"/>
          <w:szCs w:val="20"/>
          <w:color w:val="auto"/>
        </w:rPr>
      </w:pPr>
      <w:r>
        <w:rPr>
          <w:rFonts w:ascii="Times New Roman" w:cs="Times New Roman" w:eastAsia="Times New Roman" w:hAnsi="Times New Roman"/>
          <w:sz w:val="18"/>
          <w:szCs w:val="18"/>
          <w:color w:val="auto"/>
        </w:rPr>
        <w:t>Term loan facility, issued pursuant to that certain credit agreement, dated as of October 18, 2013 (and amended, supplemented and modified from time to time), by and among SGI, as the borrower, L&amp;W, as a guarantor, Bank of America, N.A., as administrative agent, and the lenders and other agents party thereto</w:t>
      </w:r>
    </w:p>
    <w:p>
      <w:pPr>
        <w:spacing w:after="0" w:line="15" w:lineRule="exact"/>
        <w:rPr>
          <w:sz w:val="20"/>
          <w:szCs w:val="20"/>
          <w:color w:val="auto"/>
        </w:rPr>
      </w:pPr>
    </w:p>
    <w:p>
      <w:pPr>
        <w:ind w:right="2540"/>
        <w:spacing w:after="0" w:line="268" w:lineRule="auto"/>
        <w:rPr>
          <w:sz w:val="20"/>
          <w:szCs w:val="20"/>
          <w:color w:val="auto"/>
        </w:rPr>
      </w:pPr>
      <w:r>
        <w:rPr>
          <w:rFonts w:ascii="Times New Roman" w:cs="Times New Roman" w:eastAsia="Times New Roman" w:hAnsi="Times New Roman"/>
          <w:sz w:val="18"/>
          <w:szCs w:val="18"/>
          <w:color w:val="auto"/>
        </w:rPr>
        <w:t>various models of automatic card shufflers, deck checkers and roulette chip sorters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-289560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1270</wp:posOffset>
            </wp:positionV>
            <wp:extent cx="713232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both"/>
        <w:ind w:right="140"/>
        <w:spacing w:after="0" w:line="243" w:lineRule="auto"/>
        <w:rPr>
          <w:sz w:val="20"/>
          <w:szCs w:val="20"/>
          <w:color w:val="auto"/>
        </w:rPr>
      </w:pPr>
      <w:r>
        <w:rPr>
          <w:rFonts w:ascii="Times New Roman" w:cs="Times New Roman" w:eastAsia="Times New Roman" w:hAnsi="Times New Roman"/>
          <w:sz w:val="18"/>
          <w:szCs w:val="18"/>
          <w:color w:val="auto"/>
        </w:rPr>
        <w:t>Our prior operating business segment that provides sports betting services which enable customers to operate sports books, including betting markets across both fixed-odds and pari-mutual betting styles, a distribution platform, full gaming process support services and brand and player management. This business segment is currently held for sale and included in discontinued operations in our financial statements</w:t>
      </w:r>
    </w:p>
    <w:p>
      <w:pPr>
        <w:spacing w:after="0" w:line="2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refers to the 2026 Unsecured Euro Notes, 2026 Unsecured Notes, 2028 Unsecured Notes and 2029 Unsecured Notes, collectively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-127635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50 states in the U.S. plus the District of Columbia, U.S. Virgin Islands and Puerto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value-added tax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video gaming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14605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video lottery terminal</w:t>
      </w:r>
    </w:p>
    <w:p>
      <w:pPr>
        <w:spacing w:after="0" w:line="549" w:lineRule="exact"/>
        <w:rPr>
          <w:sz w:val="20"/>
          <w:szCs w:val="20"/>
          <w:color w:val="auto"/>
        </w:rPr>
      </w:pPr>
    </w:p>
    <w:p>
      <w:pPr>
        <w:sectPr>
          <w:pgSz w:w="11900" w:h="16838" w:orient="portrait"/>
          <w:cols w:equalWidth="0" w:num="2">
            <w:col w:w="2020" w:space="720"/>
            <w:col w:w="8500"/>
          </w:cols>
          <w:pgMar w:left="320" w:top="783"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All ® notices signify marks registered in the United States. © 2022 Light &amp; Wonder, Inc. and/or their respective affiliates. All Rights Reserved.</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MONOPOLY</w:t>
      </w:r>
      <w:r>
        <w:rPr>
          <w:rFonts w:ascii="Times New Roman" w:cs="Times New Roman" w:eastAsia="Times New Roman" w:hAnsi="Times New Roman"/>
          <w:sz w:val="16"/>
          <w:szCs w:val="16"/>
          <w:color w:val="auto"/>
        </w:rPr>
        <w:t xml:space="preserve"> name and logo, the distinctive design of the game board, the four corner squares, the </w:t>
      </w:r>
      <w:r>
        <w:rPr>
          <w:rFonts w:ascii="Times New Roman" w:cs="Times New Roman" w:eastAsia="Times New Roman" w:hAnsi="Times New Roman"/>
          <w:sz w:val="16"/>
          <w:szCs w:val="16"/>
          <w:i w:val="1"/>
          <w:iCs w:val="1"/>
          <w:color w:val="auto"/>
        </w:rPr>
        <w:t>MR. MONOPOLY</w:t>
      </w:r>
      <w:r>
        <w:rPr>
          <w:rFonts w:ascii="Times New Roman" w:cs="Times New Roman" w:eastAsia="Times New Roman" w:hAnsi="Times New Roman"/>
          <w:sz w:val="16"/>
          <w:szCs w:val="16"/>
          <w:color w:val="auto"/>
        </w:rPr>
        <w:t xml:space="preserve"> name and character, as well as each of the distinctive elements of the board, cards, and the playing pieces are trademarks of Hasbro for its property trading game and game equipment and are used with permission. © 2022 Hasbro. All Rights Reserved. Licensed by Hasbro.</w:t>
      </w:r>
    </w:p>
    <w:p>
      <w:pPr>
        <w:spacing w:after="0" w:line="89" w:lineRule="exact"/>
        <w:rPr>
          <w:sz w:val="20"/>
          <w:szCs w:val="20"/>
          <w:color w:val="auto"/>
        </w:rPr>
      </w:pPr>
    </w:p>
    <w:p>
      <w:pPr>
        <w:ind w:right="360"/>
        <w:spacing w:after="0" w:line="333" w:lineRule="auto"/>
        <w:rPr>
          <w:sz w:val="20"/>
          <w:szCs w:val="20"/>
          <w:color w:val="auto"/>
        </w:rPr>
      </w:pPr>
      <w:r>
        <w:rPr>
          <w:sz w:val="1"/>
          <w:szCs w:val="1"/>
          <w:color w:val="auto"/>
        </w:rPr>
        <w:drawing>
          <wp:inline distT="0" distB="0" distL="0" distR="0">
            <wp:extent cx="299720" cy="1111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720" cy="11112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and James Bond indicia © 1962-2022 Danjaq, LLC and MGM. </w:t>
      </w:r>
      <w:r>
        <w:rPr>
          <w:sz w:val="1"/>
          <w:szCs w:val="1"/>
          <w:color w:val="auto"/>
        </w:rPr>
        <w:drawing>
          <wp:inline distT="0" distB="0" distL="0" distR="0">
            <wp:extent cx="300355" cy="1111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355" cy="111125"/>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and all other James Bond related trademarks are trademarks of Danjaq, LLC. All Rights Reserved.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FLINTSTONES</w:t>
      </w:r>
      <w:r>
        <w:rPr>
          <w:rFonts w:ascii="Times New Roman" w:cs="Times New Roman" w:eastAsia="Times New Roman" w:hAnsi="Times New Roman"/>
          <w:sz w:val="16"/>
          <w:szCs w:val="16"/>
          <w:color w:val="auto"/>
        </w:rPr>
        <w:t>™ and all related characters and elements © &amp; ™ Hanna-Barbera.</w:t>
      </w:r>
    </w:p>
    <w:p>
      <w:pPr>
        <w:spacing w:after="0" w:line="11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 xml:space="preserve">©2022 Playboy Enterprises International, Inc. </w:t>
      </w:r>
      <w:r>
        <w:rPr>
          <w:rFonts w:ascii="Times New Roman" w:cs="Times New Roman" w:eastAsia="Times New Roman" w:hAnsi="Times New Roman"/>
          <w:sz w:val="16"/>
          <w:szCs w:val="16"/>
          <w:i w:val="1"/>
          <w:iCs w:val="1"/>
          <w:color w:val="auto"/>
        </w:rPr>
        <w:t>PLAYBOY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PLAYMATE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PLAYBOY BUNNY</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Rabbit Head Design</w:t>
      </w:r>
      <w:r>
        <w:rPr>
          <w:rFonts w:ascii="Times New Roman" w:cs="Times New Roman" w:eastAsia="Times New Roman" w:hAnsi="Times New Roman"/>
          <w:sz w:val="16"/>
          <w:szCs w:val="16"/>
          <w:color w:val="auto"/>
        </w:rPr>
        <w:t xml:space="preserve"> are trademarks of Playboy Enterprises International, Inc. and used under license by Light &amp; Wonder, Inc.</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1" w:lineRule="exact"/>
        <w:rPr>
          <w:sz w:val="20"/>
          <w:szCs w:val="20"/>
          <w:color w:val="auto"/>
        </w:rPr>
      </w:pPr>
    </w:p>
    <w:p>
      <w:pPr>
        <w:ind w:left="340" w:right="60" w:hanging="332"/>
        <w:spacing w:after="0" w:line="273"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any resulting unfavorable social, political, economic and financial conditions, including the temporary and potentially recurring closure of casinos and lottery operations on a jurisdiction-by-jurisdiction basis;</w:t>
      </w:r>
    </w:p>
    <w:p>
      <w:pPr>
        <w:spacing w:after="0" w:line="1"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Pending Divestiture, including lack of assurance regarding the timing of completion of the pending and proposed transactions and related risks associated with the ongoing operations and activities of the Sports Betting Business, that certain deferred tax assets may not be realized relative to the anticipated tax gain from these divestitures, that the transactions will yield additional value or will not adversely impact our business, financial results, results of operations, cash flows or stock price;</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new strategy and impending rebranding initiative;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further de-lever and position the Company for enhanced growth with net proceeds from the Pending Divestiture;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63"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 including the potential impact to our business resulting from the continuing uncertainty following the U.K.’s withdrawal from the European Union;</w:t>
      </w:r>
    </w:p>
    <w:p>
      <w:pPr>
        <w:spacing w:after="0" w:line="13" w:lineRule="exact"/>
        <w:rPr>
          <w:rFonts w:ascii="Times New Roman" w:cs="Times New Roman" w:eastAsia="Times New Roman" w:hAnsi="Times New Roman"/>
          <w:sz w:val="18"/>
          <w:szCs w:val="18"/>
          <w:color w:val="auto"/>
        </w:rPr>
      </w:pPr>
    </w:p>
    <w:p>
      <w:pPr>
        <w:ind w:left="340" w:right="18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if any, new tariffs imposed by and other trade actions taken by the U.S. and foreign jurisdictions could have on our business;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w:t>
      </w:r>
    </w:p>
    <w:p>
      <w:pPr>
        <w:spacing w:after="0" w:line="63" w:lineRule="exact"/>
        <w:rPr>
          <w:rFonts w:ascii="Times New Roman" w:cs="Times New Roman" w:eastAsia="Times New Roman" w:hAnsi="Times New Roman"/>
          <w:sz w:val="18"/>
          <w:szCs w:val="18"/>
          <w:color w:val="auto"/>
        </w:rPr>
      </w:pPr>
    </w:p>
    <w:p>
      <w:pPr>
        <w:ind w:left="340" w:right="1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from LIBOR to SOFR, which may adversely affect interest rates;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reduce or refinance our indebtedness;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63" w:lineRule="exact"/>
        <w:rPr>
          <w:rFonts w:ascii="Times New Roman" w:cs="Times New Roman" w:eastAsia="Times New Roman" w:hAnsi="Times New Roman"/>
          <w:sz w:val="18"/>
          <w:szCs w:val="18"/>
          <w:color w:val="auto"/>
        </w:rPr>
      </w:pPr>
    </w:p>
    <w:p>
      <w:pPr>
        <w:ind w:left="340" w:right="16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U.K. legislation approving the reduction of fixed-odds betting terminals maximum stakes limit on LBO operators, including the related closure of certain LBO shops;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benefit from, and risks associated with, strategic equity investments and relationships;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some or all of the anticipated benefits of SciPlay being a standalone public company;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suppliers and manufacturers;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63" w:lineRule="exact"/>
        <w:rPr>
          <w:rFonts w:ascii="Times New Roman" w:cs="Times New Roman" w:eastAsia="Times New Roman" w:hAnsi="Times New Roman"/>
          <w:sz w:val="18"/>
          <w:szCs w:val="18"/>
          <w:color w:val="auto"/>
        </w:rPr>
      </w:pPr>
    </w:p>
    <w:p>
      <w:pPr>
        <w:ind w:left="340" w:right="6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to our enterprise resource planning system;</w:t>
      </w:r>
    </w:p>
    <w:p>
      <w:pPr>
        <w:spacing w:after="0" w:line="63"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13" w:lineRule="exact"/>
        <w:rPr>
          <w:rFonts w:ascii="Times New Roman" w:cs="Times New Roman" w:eastAsia="Times New Roman" w:hAnsi="Times New Roman"/>
          <w:sz w:val="18"/>
          <w:szCs w:val="18"/>
          <w:color w:val="auto"/>
        </w:rPr>
      </w:pPr>
    </w:p>
    <w:p>
      <w:pPr>
        <w:ind w:left="340" w:right="48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especially internet wagering, social gaming and sports wagering;</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thereof and potential restrictions on internet wagering;</w:t>
      </w:r>
    </w:p>
    <w:p>
      <w:pPr>
        <w:spacing w:after="0" w:line="63" w:lineRule="exact"/>
        <w:rPr>
          <w:rFonts w:ascii="Times New Roman" w:cs="Times New Roman" w:eastAsia="Times New Roman" w:hAnsi="Times New Roman"/>
          <w:sz w:val="18"/>
          <w:szCs w:val="18"/>
          <w:color w:val="auto"/>
        </w:rPr>
      </w:pPr>
    </w:p>
    <w:p>
      <w:pPr>
        <w:ind w:left="340" w:right="20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shift to regulated digital gaming or sports wagering;</w:t>
      </w:r>
    </w:p>
    <w:p>
      <w:pPr>
        <w:spacing w:after="0" w:line="63" w:lineRule="exact"/>
        <w:rPr>
          <w:rFonts w:ascii="Times New Roman" w:cs="Times New Roman" w:eastAsia="Times New Roman" w:hAnsi="Times New Roman"/>
          <w:sz w:val="18"/>
          <w:szCs w:val="18"/>
          <w:color w:val="auto"/>
        </w:rPr>
      </w:pPr>
    </w:p>
    <w:p>
      <w:pPr>
        <w:ind w:left="340" w:righ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 w:lineRule="exact"/>
        <w:rPr>
          <w:rFonts w:ascii="Times New Roman" w:cs="Times New Roman" w:eastAsia="Times New Roman" w:hAnsi="Times New Roman"/>
          <w:sz w:val="18"/>
          <w:szCs w:val="18"/>
          <w:color w:val="auto"/>
        </w:rPr>
      </w:pPr>
    </w:p>
    <w:p>
      <w:pPr>
        <w:ind w:left="340" w:right="10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executives;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that disrupt our operations, or those of our customers, suppliers or regulators;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risks and uncertainties and other factors that could cause actual results to differ materially from those contemplated in forward-looking statements is included from time to time in our filings with the SEC, including under “Risk Factors” in Part II, Item 1A of this Quarterly Report on Form 10-Q and Part I, Item 1A in our 2021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4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Cost of product sales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remeasurement of debt and other</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from continuing operations before income taxes</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from discontinued operations, net of tax</w:t>
            </w:r>
            <w:r>
              <w:rPr>
                <w:rFonts w:ascii="Times New Roman" w:cs="Times New Roman" w:eastAsia="Times New Roman" w:hAnsi="Times New Roman"/>
                <w:sz w:val="23"/>
                <w:szCs w:val="23"/>
                <w:color w:val="auto"/>
                <w:vertAlign w:val="superscript"/>
              </w:rPr>
              <w:t>(2)</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 Basic:</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5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 Diluted:</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6"/>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9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shares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shares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45" w:lineRule="exact"/>
        <w:rPr>
          <w:sz w:val="20"/>
          <w:szCs w:val="20"/>
          <w:color w:val="auto"/>
        </w:rPr>
      </w:pP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and six months periods ended June 30, 2022 include pre-tax gain of $4,568 million on sale of Lottery Business (see Note 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Derivative financial instruments unrealized gain, net of tax</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from continuing operations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from discontinued operations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L&amp;W</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 in millions, except par value)</w:t>
      </w:r>
    </w:p>
    <w:p>
      <w:pPr>
        <w:spacing w:after="0" w:line="128"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21590</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6" w:lineRule="exact"/>
        <w:rPr>
          <w:sz w:val="20"/>
          <w:szCs w:val="20"/>
          <w:color w:val="auto"/>
        </w:rPr>
      </w:pPr>
    </w:p>
    <w:p>
      <w:pPr>
        <w:jc w:val="right"/>
        <w:ind w:right="340"/>
        <w:spacing w:after="0"/>
        <w:tabs>
          <w:tab w:leader="none" w:pos="1280" w:val="left"/>
        </w:tabs>
        <w:rPr>
          <w:sz w:val="20"/>
          <w:szCs w:val="20"/>
          <w:color w:val="auto"/>
        </w:rPr>
      </w:pPr>
      <w:r>
        <w:rPr>
          <w:rFonts w:ascii="Times New Roman" w:cs="Times New Roman" w:eastAsia="Times New Roman" w:hAnsi="Times New Roman"/>
          <w:sz w:val="16"/>
          <w:szCs w:val="16"/>
          <w:b w:val="1"/>
          <w:bCs w:val="1"/>
          <w:color w:val="auto"/>
        </w:rPr>
        <w:t>June 30, 2022</w:t>
      </w:r>
      <w:r>
        <w:rPr>
          <w:sz w:val="20"/>
          <w:szCs w:val="20"/>
          <w:color w:val="auto"/>
        </w:rPr>
        <w:tab/>
      </w:r>
      <w:r>
        <w:rPr>
          <w:rFonts w:ascii="Times New Roman" w:cs="Times New Roman" w:eastAsia="Times New Roman" w:hAnsi="Times New Roman"/>
          <w:sz w:val="16"/>
          <w:szCs w:val="16"/>
          <w:b w:val="1"/>
          <w:bCs w:val="1"/>
          <w:color w:val="auto"/>
        </w:rPr>
        <w:t>December 31, 2021</w:t>
      </w:r>
    </w:p>
    <w:p>
      <w:pPr>
        <w:sectPr>
          <w:pgSz w:w="11900" w:h="16838" w:orient="portrait"/>
          <w:cols w:equalWidth="0" w:num="1">
            <w:col w:w="11240"/>
          </w:cols>
          <w:pgMar w:left="320" w:top="603" w:right="339" w:bottom="1440" w:gutter="0" w:footer="0" w:header="0"/>
        </w:sectPr>
      </w:pP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6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r>
      <w:tr>
        <w:trPr>
          <w:trHeight w:val="24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net of allowance for credit losses $46 and $52, respectively</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240" w:type="dxa"/>
            <w:vAlign w:val="bottom"/>
          </w:tcPr>
          <w:p>
            <w:pPr>
              <w:spacing w:after="0"/>
              <w:rPr>
                <w:sz w:val="19"/>
                <w:szCs w:val="19"/>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 of businesses held for sale</w:t>
            </w:r>
          </w:p>
        </w:tc>
        <w:tc>
          <w:tcPr>
            <w:tcW w:w="240" w:type="dxa"/>
            <w:vAlign w:val="bottom"/>
          </w:tcPr>
          <w:p>
            <w:pPr>
              <w:spacing w:after="0"/>
              <w:rPr>
                <w:sz w:val="20"/>
                <w:szCs w:val="20"/>
                <w:color w:val="auto"/>
              </w:rPr>
            </w:pPr>
          </w:p>
        </w:tc>
      </w:tr>
      <w:tr>
        <w:trPr>
          <w:trHeight w:val="238"/>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net of allowance for credit losses $2 and $2, respectively</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net</w:t>
            </w:r>
          </w:p>
        </w:tc>
        <w:tc>
          <w:tcPr>
            <w:tcW w:w="240" w:type="dxa"/>
            <w:vAlign w:val="bottom"/>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 of businesses held for sale</w:t>
            </w:r>
          </w:p>
        </w:tc>
        <w:tc>
          <w:tcPr>
            <w:tcW w:w="240" w:type="dxa"/>
            <w:vAlign w:val="bottom"/>
          </w:tcPr>
          <w:p>
            <w:pPr>
              <w:spacing w:after="0"/>
              <w:rPr>
                <w:sz w:val="20"/>
                <w:szCs w:val="20"/>
                <w:color w:val="auto"/>
              </w:rPr>
            </w:pPr>
          </w:p>
        </w:tc>
      </w:tr>
      <w:tr>
        <w:trPr>
          <w:trHeight w:val="27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706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Pr>
          <w:p>
            <w:pPr>
              <w:spacing w:after="0"/>
              <w:rPr>
                <w:sz w:val="24"/>
                <w:szCs w:val="24"/>
                <w:color w:val="auto"/>
              </w:rPr>
            </w:pPr>
          </w:p>
        </w:tc>
      </w:tr>
      <w:tr>
        <w:trPr>
          <w:trHeight w:val="257"/>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2"/>
                <w:szCs w:val="22"/>
                <w:color w:val="auto"/>
              </w:rPr>
            </w:pPr>
          </w:p>
        </w:tc>
      </w:tr>
      <w:tr>
        <w:trPr>
          <w:trHeight w:val="279"/>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r>
      <w:tr>
        <w:trPr>
          <w:trHeight w:val="25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2"/>
                <w:szCs w:val="22"/>
                <w:color w:val="auto"/>
              </w:rPr>
            </w:pPr>
          </w:p>
        </w:tc>
      </w:tr>
      <w:tr>
        <w:trPr>
          <w:trHeight w:val="252"/>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1"/>
                <w:szCs w:val="21"/>
                <w:color w:val="auto"/>
              </w:rPr>
            </w:pPr>
          </w:p>
        </w:tc>
      </w:tr>
      <w:tr>
        <w:trPr>
          <w:trHeight w:val="229"/>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of businesses held for sale</w:t>
            </w:r>
          </w:p>
        </w:tc>
        <w:tc>
          <w:tcPr>
            <w:tcW w:w="240" w:type="dxa"/>
            <w:vAlign w:val="bottom"/>
          </w:tcPr>
          <w:p>
            <w:pPr>
              <w:spacing w:after="0"/>
              <w:rPr>
                <w:sz w:val="19"/>
                <w:szCs w:val="19"/>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r>
      <w:tr>
        <w:trPr>
          <w:trHeight w:val="257"/>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2"/>
                <w:szCs w:val="22"/>
                <w:color w:val="auto"/>
              </w:rPr>
            </w:pPr>
          </w:p>
        </w:tc>
      </w:tr>
      <w:tr>
        <w:trPr>
          <w:trHeight w:val="256"/>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2"/>
                <w:szCs w:val="22"/>
                <w:color w:val="auto"/>
              </w:rPr>
            </w:pPr>
          </w:p>
        </w:tc>
      </w:tr>
      <w:tr>
        <w:trPr>
          <w:trHeight w:val="257"/>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2"/>
                <w:szCs w:val="22"/>
                <w:color w:val="auto"/>
              </w:rPr>
            </w:pPr>
          </w:p>
        </w:tc>
      </w:tr>
      <w:tr>
        <w:trPr>
          <w:trHeight w:val="257"/>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240" w:type="dxa"/>
            <w:vAlign w:val="bottom"/>
          </w:tcPr>
          <w:p>
            <w:pPr>
              <w:spacing w:after="0"/>
              <w:rPr>
                <w:sz w:val="22"/>
                <w:szCs w:val="22"/>
                <w:color w:val="auto"/>
              </w:rPr>
            </w:pPr>
          </w:p>
        </w:tc>
      </w:tr>
      <w:tr>
        <w:trPr>
          <w:trHeight w:val="252"/>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of businesses held for sale</w:t>
            </w:r>
          </w:p>
        </w:tc>
        <w:tc>
          <w:tcPr>
            <w:tcW w:w="240" w:type="dxa"/>
            <w:vAlign w:val="bottom"/>
          </w:tcPr>
          <w:p>
            <w:pPr>
              <w:spacing w:after="0"/>
              <w:rPr>
                <w:sz w:val="21"/>
                <w:szCs w:val="21"/>
                <w:color w:val="auto"/>
              </w:rPr>
            </w:pPr>
          </w:p>
        </w:tc>
      </w:tr>
      <w:tr>
        <w:trPr>
          <w:trHeight w:val="234"/>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r>
      <w:tr>
        <w:trPr>
          <w:trHeight w:val="25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40" w:type="dxa"/>
            <w:vAlign w:val="bottom"/>
          </w:tcPr>
          <w:p>
            <w:pPr>
              <w:spacing w:after="0"/>
              <w:rPr>
                <w:sz w:val="22"/>
                <w:szCs w:val="22"/>
                <w:color w:val="auto"/>
              </w:rPr>
            </w:pPr>
          </w:p>
        </w:tc>
      </w:tr>
      <w:tr>
        <w:trPr>
          <w:trHeight w:val="257"/>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2"/>
                <w:szCs w:val="22"/>
                <w:color w:val="auto"/>
              </w:rPr>
            </w:pPr>
          </w:p>
        </w:tc>
      </w:tr>
      <w:tr>
        <w:trPr>
          <w:trHeight w:val="202"/>
        </w:trPr>
        <w:tc>
          <w:tcPr>
            <w:tcW w:w="70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Common stock, par value $0.001 per share, 199 shares authorized; 115 and 114 shares issued,</w:t>
            </w:r>
          </w:p>
        </w:tc>
        <w:tc>
          <w:tcPr>
            <w:tcW w:w="240" w:type="dxa"/>
            <w:vAlign w:val="bottom"/>
          </w:tcPr>
          <w:p>
            <w:pPr>
              <w:spacing w:after="0"/>
              <w:rPr>
                <w:sz w:val="17"/>
                <w:szCs w:val="17"/>
                <w:color w:val="auto"/>
              </w:rPr>
            </w:pPr>
          </w:p>
        </w:tc>
      </w:tr>
      <w:tr>
        <w:trPr>
          <w:trHeight w:val="234"/>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and 94 and 97 shares outstanding, respectively</w:t>
            </w:r>
          </w:p>
        </w:tc>
        <w:tc>
          <w:tcPr>
            <w:tcW w:w="240" w:type="dxa"/>
            <w:vAlign w:val="bottom"/>
          </w:tcPr>
          <w:p>
            <w:pPr>
              <w:spacing w:after="0"/>
              <w:rPr>
                <w:sz w:val="20"/>
                <w:szCs w:val="20"/>
                <w:color w:val="auto"/>
              </w:rPr>
            </w:pPr>
          </w:p>
        </w:tc>
      </w:tr>
      <w:tr>
        <w:trPr>
          <w:trHeight w:val="252"/>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r>
      <w:tr>
        <w:trPr>
          <w:trHeight w:val="25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 (accumulated loss)</w:t>
            </w:r>
          </w:p>
        </w:tc>
        <w:tc>
          <w:tcPr>
            <w:tcW w:w="240" w:type="dxa"/>
            <w:vAlign w:val="bottom"/>
          </w:tcPr>
          <w:p>
            <w:pPr>
              <w:spacing w:after="0"/>
              <w:rPr>
                <w:sz w:val="22"/>
                <w:szCs w:val="22"/>
                <w:color w:val="auto"/>
              </w:rPr>
            </w:pPr>
          </w:p>
        </w:tc>
      </w:tr>
      <w:tr>
        <w:trPr>
          <w:trHeight w:val="25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21 and 17 shares, respectively</w:t>
            </w:r>
          </w:p>
        </w:tc>
        <w:tc>
          <w:tcPr>
            <w:tcW w:w="240" w:type="dxa"/>
            <w:vAlign w:val="bottom"/>
          </w:tcPr>
          <w:p>
            <w:pPr>
              <w:spacing w:after="0"/>
              <w:rPr>
                <w:sz w:val="22"/>
                <w:szCs w:val="22"/>
                <w:color w:val="auto"/>
              </w:rPr>
            </w:pPr>
          </w:p>
        </w:tc>
      </w:tr>
      <w:tr>
        <w:trPr>
          <w:trHeight w:val="25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-6548755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-6257290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-5965825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-5374005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-4791075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-4499610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-3916680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-3300095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928</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1,748</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44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2,932</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837</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429</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6,481</w:t>
            </w: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r>
      <w:tr>
        <w:trPr>
          <w:trHeight w:val="20"/>
        </w:trPr>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95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6"/>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164</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5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359</w:t>
            </w:r>
          </w:p>
        </w:tc>
        <w:tc>
          <w:tcPr>
            <w:tcW w:w="7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681</w:t>
            </w:r>
          </w:p>
        </w:tc>
        <w:tc>
          <w:tcPr>
            <w:tcW w:w="7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1,254</w:t>
            </w: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5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6"/>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5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3,878</w:t>
            </w:r>
          </w:p>
        </w:tc>
        <w:tc>
          <w:tcPr>
            <w:tcW w:w="7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w:t>
            </w:r>
          </w:p>
        </w:tc>
      </w:t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5,515</w:t>
            </w:r>
          </w:p>
        </w:tc>
        <w:tc>
          <w:tcPr>
            <w:tcW w:w="7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r>
      <w:tr>
        <w:trPr>
          <w:trHeight w:val="945"/>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1,375</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56"/>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56"/>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54"/>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7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-3632835</wp:posOffset>
            </wp:positionV>
            <wp:extent cx="1243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-3787140</wp:posOffset>
            </wp:positionV>
            <wp:extent cx="1243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-5544185</wp:posOffset>
            </wp:positionV>
            <wp:extent cx="1243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-6727190</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60" w:space="720"/>
            <w:col w:w="2560"/>
          </w:cols>
          <w:pgMar w:left="320" w:top="603"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2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L&amp;W stockholders’ equity (deficit)</w:t>
            </w:r>
          </w:p>
        </w:tc>
        <w:tc>
          <w:tcPr>
            <w:tcW w:w="8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r>
      <w:tr>
        <w:trPr>
          <w:trHeight w:val="256"/>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6"/>
        </w:trPr>
        <w:tc>
          <w:tcPr>
            <w:tcW w:w="7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23"/>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r>
      <w:tr>
        <w:trPr>
          <w:trHeight w:val="21"/>
        </w:trPr>
        <w:tc>
          <w:tcPr>
            <w:tcW w:w="7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6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1"/>
        </w:trPr>
        <w:tc>
          <w:tcPr>
            <w:tcW w:w="76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7"/>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w:t>
            </w:r>
          </w:p>
        </w:tc>
        <w:tc>
          <w:tcPr>
            <w:tcW w:w="10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Income from discontinued operations, net of tax</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162"/>
        </w:trPr>
        <w:tc>
          <w:tcPr>
            <w:tcW w:w="7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from continuing operations to net cash provided by operating activities from</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7"/>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3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working capital accounts, excluding the effects of acquisitions</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deferred income taxes and other</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from continuing operations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2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from discontinued operations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settlement of cross-currency interest rate swaps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 from continuing operations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6"/>
        </w:trPr>
        <w:tc>
          <w:tcPr>
            <w:tcW w:w="76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Net cash provided by (used in) investing activities from discontinued operations</w:t>
            </w:r>
            <w:r>
              <w:rPr>
                <w:rFonts w:ascii="Times New Roman" w:cs="Times New Roman" w:eastAsia="Times New Roman" w:hAnsi="Times New Roman"/>
                <w:sz w:val="21"/>
                <w:szCs w:val="21"/>
                <w:color w:val="auto"/>
                <w:vertAlign w:val="superscript"/>
              </w:rPr>
              <w:t>(1)</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SGI revolving credit facility</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SGI revolving credit facility</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senior notes and term loans</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notes and term loans (including redemption premium)</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6"/>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debt issuance and deferred financing costs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license obligations</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SciPlay’s common stock</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redemptions of common stock under stock-based compensation plans and 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 from continuing operations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 from discontinued operations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cash equivalents and restricted cash of discontinued operations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of continuing operations, end of period</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32"/>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Distributed earnings from equity investments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non-cash transactions:</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2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51" w:lineRule="exact"/>
        <w:rPr>
          <w:sz w:val="20"/>
          <w:szCs w:val="20"/>
          <w:color w:val="auto"/>
        </w:rPr>
      </w:pP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 months ended June 30, 2022 include $5,659 million in gross cash proceeds from the Lottery Business sale, net of cash, cash equivalents and restricted cash transferred.</w:t>
      </w:r>
    </w:p>
    <w:p>
      <w:pPr>
        <w:spacing w:after="0" w:line="104" w:lineRule="exact"/>
        <w:rPr>
          <w:rFonts w:ascii="Times New Roman" w:cs="Times New Roman" w:eastAsia="Times New Roman" w:hAnsi="Times New Roman"/>
          <w:sz w:val="14"/>
          <w:szCs w:val="14"/>
          <w:color w:val="auto"/>
        </w:rPr>
      </w:pPr>
    </w:p>
    <w:p>
      <w:pPr>
        <w:ind w:left="3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LIGHT &amp; WONDER, INC. AND SUBSIDIARIES NOTES TO CONDENSED CONSOLIDATED FINANCIAL STATEMENTS (Unaudited, amounts in USD, table amounts in millions, except per share amounts)</w:t>
      </w:r>
    </w:p>
    <w:p>
      <w:pPr>
        <w:spacing w:after="0" w:line="198" w:lineRule="exact"/>
        <w:rPr>
          <w:sz w:val="20"/>
          <w:szCs w:val="20"/>
          <w:color w:val="auto"/>
        </w:rPr>
      </w:pPr>
    </w:p>
    <w:p>
      <w:pPr>
        <w:ind w:right="514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We are a leading cross-platform global game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to retail customers, including casual gaming; and providing a comprehensive suite of digital RMG, distribution platforms, content, products and services to various gaming entities. Our portfolio of revenue-generating activities in the discontinued operations primarily has included providing instant and draw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lottery products, lottery systems and lottery content and services to lottery operators along with providing sports wagering solutions to various gaming entities.</w:t>
      </w:r>
    </w:p>
    <w:p>
      <w:pPr>
        <w:spacing w:after="0" w:line="13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report our results of continuing operations in three business segments—Gaming, SciPlay and iGaming—representing our different products and services. Unless otherwise noted, amounts and disclosures included herein relate to our continuing operations.</w:t>
      </w:r>
    </w:p>
    <w:p>
      <w:pPr>
        <w:spacing w:after="0" w:line="94"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Effective April 28, 2022, we changed our name to Light &amp; Wonder, Inc. This change is in part due to the sale of the Lottery Business that will continue to use our previous name, Scientific Games, and also to align with our vision of becoming the leading cross-platform global game company.</w:t>
      </w:r>
    </w:p>
    <w:p>
      <w:pPr>
        <w:spacing w:after="0" w:line="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September 27, 2021, we entered into a definitive agreement to sell our Sports Betting Business to Endeavor Group Holdings, Inc. (“Endeavor”) in a cash and stock transaction. On June 30, 2022, we entered into an amendment to the agreement, under which the cash consideration was reduced from $1,000 million to $750 million and the stock consideration was reduced from approximately 7.6 million shares of Endeavor Class A common stock (valued at approximately $200 million as of the date of the purchase agreement) to approximately 2.3 million shares of Endeavor Class A common stock (valued at approximately $50 million as of the date of the amendment and based on the volume weighted average price of Endeavor Class A common stock in the twenty days before the date of the amendment). The amendment additionally waives the closing condition requiring regulatory approval by the Nevada Gaming Control Board and extends the agreement date to December 30, 2022 if certain conditions to closing are not met by September 27, 2022. The sale of the Sports Betting Business is expected to be completed in the third quarter of 2022, subject to applicable regulatory approvals and other customary conditions.</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we completed the previously announced divestiture of the Lottery Business and received $5.7 billion in gross cash proceeds.</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reflected the financial results of these businesses as discontinued operations in our consolidated statements of operations and reflected the assets and liabilities of these businesses as held for sale in our consolidated balance sheets, for all periods presented and until the completion of disposition of these businesses. Refer to Note 2 for further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The accompanying condensed consolidated financial statements include the accounts of L&amp;W, its wholly owned subsidiaries, and those subsidiaries in which we have a controlling financial interest. All intercompany balances and transactions have been eliminated in consolidation.</w:t>
      </w:r>
    </w:p>
    <w:p>
      <w:pPr>
        <w:spacing w:after="0" w:line="10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L&amp;W and its management, we have made all adjustments necessary to present fairly our consolidated financial position, results of operations, comprehensive income (loss) and cash flows for the periods presented. Such adjustments are of a normal, recurring nature. These unaudited condensed consolidated financial statements should be read in conjunction with the consolidated financial statements and related notes included in our 2021 10-K. Interim results of operations are not necessarily indicative of results of operations to be expected for a full year.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changes to our significant accounting policies described within the Notes of our 2021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Basic and Diluted Net Income Attributable to L&amp;W Per Share</w:t>
      </w:r>
    </w:p>
    <w:p>
      <w:pPr>
        <w:spacing w:after="0" w:line="14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income attributable to L&amp;W per share is based upon net income attributable to L&amp;W divided by the weighted average number of common shares outstanding during the period. Diluted earnings per share reflects the effect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ind w:right="780"/>
        <w:spacing w:after="0" w:line="282" w:lineRule="auto"/>
        <w:rPr>
          <w:sz w:val="20"/>
          <w:szCs w:val="20"/>
          <w:color w:val="auto"/>
        </w:rPr>
      </w:pPr>
      <w:r>
        <w:rPr>
          <w:rFonts w:ascii="Times New Roman" w:cs="Times New Roman" w:eastAsia="Times New Roman" w:hAnsi="Times New Roman"/>
          <w:sz w:val="18"/>
          <w:szCs w:val="18"/>
          <w:color w:val="auto"/>
        </w:rPr>
        <w:t>the assumed exercise of stock options and RSUs only in the periods in which such effect would have been dilutive to net income from continuing operations.</w:t>
      </w:r>
    </w:p>
    <w:p>
      <w:pPr>
        <w:spacing w:after="0" w:line="94"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Basic and diluted net income attributable to L&amp;W per share were the same for all periods presented as all common stock equivalents would be anti-dilutive. We excluded 2 million of stock options and 2 million of RSUs outstanding as of June 30, 2022 from the diluted weighted-average common shares outstanding for the three and six months ended June 30, 2022. We excluded 2 million of stock options and 3 million of RSUs outstanding as of June 30, 2021 from the calculation of diluted weighted-average common shares outstanding for the three and six months ended June 30,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SciPlay Acquisition of Alictus Yazilim Anonim Şirketi (“Alictus”)</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1, 2022, SciPlay acquired 80% of all issued and outstanding share capital of privately held Alictus, a Turkey-based hyper-casual game studio for approximately $106 million cash consideration, net of cash acquired. The remaining 20% will be acquired ratably for potential additional consideration payable annually based upon the achievement of specified revenue and earnings targets by Alictus during each of the five years following the acquisition date. Any future payments associated with the acquisition of the remaining 20% will represent a redeemable non-controlling interest, with a minimum payout of $0 million and a maximum payout of $200 million. The Alictus acquisition expands SciPlay’s business in the casual gaming market, growing its game pipeline and diversifying its revenue streams as it advances its strategy to be a diversified global game developer.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Playzido Limited (“Playzido”)</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April 2022, we acquired Playzido, a dynamic content creation platform provider and game supplier, which is expected to accelerate the pace at which we can partner with game studios and operators to expand our iGaming content offering.</w:t>
      </w:r>
    </w:p>
    <w:p>
      <w:pPr>
        <w:spacing w:after="0" w:line="9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accounted for these acquisitions using the acquisition method of accounting, allocating the total consideration transferred to acquired tangible and intangible assets and assumed liabilities based on estimated fair values. The estimated fair values of the acquired assets, assumed liabilities and resulting goodwill are subject to adjustment as we finalize our purchase price accounting. The following table summarizes an aggregate disclosure related to the acquisitions above and is based on the preliminary purchase price allocation expected to be finalized by the fourth quarter of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Allocation of purchase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paid, net of cash</w:t>
            </w: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of</w:t>
            </w:r>
          </w:p>
        </w:tc>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Excess purchase price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consideration/Redeemable</w:t>
            </w:r>
          </w:p>
        </w:tc>
        <w:tc>
          <w:tcPr>
            <w:tcW w:w="19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price to Intangible assets,</w:t>
            </w:r>
          </w:p>
        </w:tc>
        <w:tc>
          <w:tcPr>
            <w:tcW w:w="16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acquired intangible</w:t>
            </w: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3"/>
              </w:rPr>
              <w:t>acquired</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Pr>
          <w:p>
            <w:pPr>
              <w:spacing w:after="0"/>
              <w:rPr>
                <w:sz w:val="18"/>
                <w:szCs w:val="18"/>
                <w:color w:val="auto"/>
              </w:rPr>
            </w:pPr>
          </w:p>
        </w:tc>
        <w:tc>
          <w:tcPr>
            <w:tcW w:w="200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w w:val="99"/>
              </w:rPr>
              <w:t>non-controlling interest</w:t>
            </w:r>
            <w:r>
              <w:rPr>
                <w:rFonts w:ascii="Times New Roman" w:cs="Times New Roman" w:eastAsia="Times New Roman" w:hAnsi="Times New Roman"/>
                <w:sz w:val="21"/>
                <w:szCs w:val="21"/>
                <w:b w:val="1"/>
                <w:bCs w:val="1"/>
                <w:color w:val="auto"/>
                <w:w w:val="99"/>
                <w:vertAlign w:val="superscript"/>
              </w:rPr>
              <w:t>(2)</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0"/>
              </w:rPr>
              <w:t>net</w:t>
            </w:r>
            <w:r>
              <w:rPr>
                <w:rFonts w:ascii="Times New Roman" w:cs="Times New Roman" w:eastAsia="Times New Roman" w:hAnsi="Times New Roman"/>
                <w:sz w:val="21"/>
                <w:szCs w:val="21"/>
                <w:b w:val="1"/>
                <w:bCs w:val="1"/>
                <w:color w:val="auto"/>
                <w:w w:val="90"/>
                <w:vertAlign w:val="superscript"/>
              </w:rPr>
              <w:t>(3)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allocated to Goodwill</w:t>
            </w:r>
            <w:r>
              <w:rPr>
                <w:rFonts w:ascii="Times New Roman" w:cs="Times New Roman" w:eastAsia="Times New Roman" w:hAnsi="Times New Roman"/>
                <w:sz w:val="21"/>
                <w:szCs w:val="21"/>
                <w:b w:val="1"/>
                <w:bCs w:val="1"/>
                <w:color w:val="auto"/>
                <w:w w:val="99"/>
                <w:vertAlign w:val="superscript"/>
              </w:rPr>
              <w:t>(4)</w:t>
            </w:r>
          </w:p>
        </w:tc>
        <w:tc>
          <w:tcPr>
            <w:tcW w:w="0" w:type="dxa"/>
            <w:vAlign w:val="bottom"/>
          </w:tcPr>
          <w:p>
            <w:pPr>
              <w:spacing w:after="0"/>
              <w:rPr>
                <w:sz w:val="1"/>
                <w:szCs w:val="1"/>
                <w:color w:val="auto"/>
              </w:rPr>
            </w:pPr>
          </w:p>
        </w:tc>
      </w:tr>
      <w:tr>
        <w:trPr>
          <w:trHeight w:val="210"/>
        </w:trPr>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 Years</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0" w:hanging="194"/>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$6 million acquired in short term investments.</w:t>
      </w:r>
    </w:p>
    <w:p>
      <w:pPr>
        <w:spacing w:after="0" w:line="41" w:lineRule="exact"/>
        <w:rPr>
          <w:rFonts w:ascii="Times New Roman" w:cs="Times New Roman" w:eastAsia="Times New Roman" w:hAnsi="Times New Roman"/>
          <w:sz w:val="14"/>
          <w:szCs w:val="14"/>
          <w:color w:val="auto"/>
        </w:rPr>
      </w:pPr>
    </w:p>
    <w:p>
      <w:pPr>
        <w:ind w:left="20" w:right="400" w:firstLine="6"/>
        <w:spacing w:after="0" w:line="251"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values were determined using an income approach primarily based on reaching certain revenue and earnings-based metrics, with discount rates ranging between 2% and 16% and a maximum payout of up to $213 million.</w:t>
      </w:r>
    </w:p>
    <w:p>
      <w:pPr>
        <w:ind w:left="20" w:right="160" w:firstLine="6"/>
        <w:spacing w:after="0" w:line="241"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primarily consist of intellectual property, consisting of games technology and content platforms, and trade names. The fair value of these intangible assets was determined using an income approach method and level 3 inputs in the hierarchy as established by ASC 820. The discount rates used in the valuation analyses ranged between 16% and 18%. Royalty rates used for the trade names as well as acquired game content and related technology ranged between 1% and 3% and 20% and 21%, respectively.</w:t>
      </w:r>
    </w:p>
    <w:p>
      <w:pPr>
        <w:spacing w:after="0" w:line="1" w:lineRule="exact"/>
        <w:rPr>
          <w:rFonts w:ascii="Times New Roman" w:cs="Times New Roman" w:eastAsia="Times New Roman" w:hAnsi="Times New Roman"/>
          <w:sz w:val="14"/>
          <w:szCs w:val="14"/>
          <w:color w:val="auto"/>
        </w:rPr>
      </w:pPr>
    </w:p>
    <w:p>
      <w:pPr>
        <w:ind w:left="20" w:right="360" w:firstLine="6"/>
        <w:spacing w:after="0" w:line="261"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contributing to the recognition of acquisition goodwill are based on game portfolio and platform diversification, expected synergies, assembled workforce and other strategic benefits. None of the resultant goodwill is expected to be deductible for income tax purposes.</w:t>
      </w:r>
    </w:p>
    <w:p>
      <w:pPr>
        <w:spacing w:after="0" w:line="221" w:lineRule="exact"/>
        <w:rPr>
          <w:sz w:val="20"/>
          <w:szCs w:val="20"/>
          <w:color w:val="auto"/>
        </w:rPr>
      </w:pPr>
    </w:p>
    <w:p>
      <w:pPr>
        <w:ind w:right="320" w:firstLine="648"/>
        <w:spacing w:after="0" w:line="414" w:lineRule="auto"/>
        <w:rPr>
          <w:sz w:val="20"/>
          <w:szCs w:val="20"/>
          <w:color w:val="auto"/>
        </w:rPr>
      </w:pPr>
      <w:r>
        <w:rPr>
          <w:rFonts w:ascii="Times New Roman" w:cs="Times New Roman" w:eastAsia="Times New Roman" w:hAnsi="Times New Roman"/>
          <w:sz w:val="18"/>
          <w:szCs w:val="18"/>
          <w:color w:val="auto"/>
        </w:rPr>
        <w:t xml:space="preserve">The revenue and earnings associated with the above acquisitions are immaterial to our current and historical consolidated financial statements. </w:t>
      </w:r>
      <w:r>
        <w:rPr>
          <w:rFonts w:ascii="Times New Roman" w:cs="Times New Roman" w:eastAsia="Times New Roman" w:hAnsi="Times New Roman"/>
          <w:sz w:val="18"/>
          <w:szCs w:val="18"/>
          <w:i w:val="1"/>
          <w:iCs w:val="1"/>
          <w:color w:val="auto"/>
        </w:rPr>
        <w:t>New Accounting Guidance - Not Yet Adopted</w:t>
      </w:r>
    </w:p>
    <w:p>
      <w:pPr>
        <w:spacing w:after="0" w:line="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FASB issued ASU No. 2020-04 and subsequently ASU No. 2021-01, Reference Rate Reform (Topic 848) in March 2020 and January 2021, respectively. The new guidance provides optional expedients and exceptions for applying U.S. GAAP to contract modifications and hedging relationships, including derivative instruments impacted by changes in the interest rates used for discounting cash flows for computing variable margin settlements, subject to meeting certain criteria, that reference LIBOR or other reference rates expected to be discontinued by June 2023. The ASUs establish certain contract modification principles that entities can apply in other areas that may be affected by reference rate reform and certain elective hedge accounting expedients and exceptions. The ASUs may be applied prospectively. Based on our preliminary assessment completed to date, we do not expect the adoption of this guidance to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14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we completed the previously announced divestiture of the Lottery Business, received $5.7 billion in gross cash proceeds and recorded a pre-tax gain on sale of the Lottery Business of $4.6 billion.</w:t>
      </w:r>
    </w:p>
    <w:p>
      <w:pPr>
        <w:spacing w:after="0" w:line="94"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We have reflected the financial results of the Lottery Business and Sports Betting Business as discontinued operations in our consolidated statements of operations and reflected the assets and liabilities of these businesses as held for sale in our consolidated balance sheets, for all periods presented and until the completion of disposition of these businesses.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summarized results of our discontinued operations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46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7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5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revenue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operating expenses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from discontinued operations before income taxes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Lottery Business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net income from discontinued operations before income taxes</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64"/>
        </w:trPr>
        <w:tc>
          <w:tcPr>
            <w:tcW w:w="57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from discontinued operations, net of tax included in the</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jc w:val="both"/>
        <w:ind w:left="20" w:right="40" w:firstLine="6"/>
        <w:spacing w:after="0" w:line="231" w:lineRule="auto"/>
        <w:tabs>
          <w:tab w:leader="none" w:pos="22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D&amp;A of $27 million and $53 million for the three and six months ended June 30, 2021, respectively, along with stock-based compensation of $4 million and $11 million for the three and six months ended June 30, 2022, respectively, and $5 million and $9 million for the three and six months ended June 30, 2021, respectively. Due to the discontinued operations classification of these businesses as of the third quarter of 2021, the D&amp;A for these businesses has ceased and none was included for the three and six months ended June 30, 2022. The three and six months ended June 30, 2022 also include $78 million related to direct transaction closing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of businesses held for sale.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1"/>
        </w:trPr>
        <w:tc>
          <w:tcPr>
            <w:tcW w:w="720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1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 of businesses held for sale</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and software, net</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investments</w:t>
            </w:r>
          </w:p>
        </w:tc>
        <w:tc>
          <w:tcPr>
            <w:tcW w:w="15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non-current assets of businesses held for sale</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of businesses held for sale</w:t>
            </w:r>
          </w:p>
        </w:tc>
        <w:tc>
          <w:tcPr>
            <w:tcW w:w="1540" w:type="dxa"/>
            <w:vAlign w:val="bottom"/>
            <w:tcBorders>
              <w:bottom w:val="single" w:sz="8" w:color="auto"/>
            </w:tcBorders>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businesses held for sale</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 of businesses held for sale</w:t>
            </w:r>
          </w:p>
        </w:tc>
        <w:tc>
          <w:tcPr>
            <w:tcW w:w="15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of businesses held for sale</w:t>
            </w:r>
          </w:p>
        </w:tc>
        <w:tc>
          <w:tcPr>
            <w:tcW w:w="1540" w:type="dxa"/>
            <w:vAlign w:val="bottom"/>
            <w:tcBorders>
              <w:bottom w:val="single" w:sz="8" w:color="auto"/>
            </w:tcBorders>
          </w:tcPr>
          <w:p>
            <w:pPr>
              <w:jc w:val="right"/>
              <w:ind w:right="13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revenues by type within each of our business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38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Gaming operations</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Gaming machine sales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Gaming systems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Table products</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SciPlay</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Mobile in-app purchases</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Web in-app purchases and other</w:t>
            </w:r>
            <w:r>
              <w:rPr>
                <w:rFonts w:ascii="Times New Roman" w:cs="Times New Roman" w:eastAsia="Times New Roman" w:hAnsi="Times New Roman"/>
                <w:sz w:val="23"/>
                <w:szCs w:val="23"/>
                <w:color w:val="auto"/>
                <w:vertAlign w:val="superscript"/>
              </w:rPr>
              <w:t>(2)</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00" w:type="dxa"/>
            <w:vAlign w:val="bottom"/>
            <w:vMerge w:val="continue"/>
          </w:tcPr>
          <w:p>
            <w:pPr>
              <w:spacing w:after="0"/>
              <w:rPr>
                <w:sz w:val="20"/>
                <w:szCs w:val="20"/>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right="240" w:firstLine="6"/>
        <w:spacing w:after="0" w:line="234" w:lineRule="auto"/>
        <w:tabs>
          <w:tab w:leader="none" w:pos="22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Gaming operations revenue for the three and six months ended June 30, 2021 benefited from $38 million and $44 million U.K. FOBT VAT recovery (the “VAT recovery”) received from certain U.K. customers related to a 2020 U.K. court ruling associated with overcharging of value-added tax for gaming operators that consequently reduced our net gaming revenues related to these customers and arrangements.</w:t>
      </w:r>
    </w:p>
    <w:p>
      <w:pPr>
        <w:spacing w:after="0" w:line="15" w:lineRule="exact"/>
        <w:rPr>
          <w:rFonts w:ascii="Times New Roman" w:cs="Times New Roman" w:eastAsia="Times New Roman" w:hAnsi="Times New Roman"/>
          <w:sz w:val="14"/>
          <w:szCs w:val="14"/>
          <w:color w:val="auto"/>
        </w:rPr>
      </w:pPr>
    </w:p>
    <w:p>
      <w:pPr>
        <w:ind w:left="20" w:right="100" w:firstLine="6"/>
        <w:spacing w:after="0" w:line="261" w:lineRule="auto"/>
        <w:tabs>
          <w:tab w:leader="none" w:pos="22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revenue generated from providing advertising platforms with access to SciPlay’s game software platform, which facilitates the placement of advertising inventory, which was not material in the periods presented.</w:t>
      </w:r>
    </w:p>
    <w:p>
      <w:pPr>
        <w:spacing w:after="0" w:line="20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amount of rental income revenue that is outside the scope of ASC 606 was $118 million and $231 million for the three and six months ended June 30, 2022, respectively, and $119 million and $182 million for the three and six months ended June 30, 2021,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r>
      <w:tr>
        <w:trPr>
          <w:trHeight w:val="226"/>
        </w:trPr>
        <w:tc>
          <w:tcPr>
            <w:tcW w:w="77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34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34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75" w:lineRule="exact"/>
        <w:rPr>
          <w:sz w:val="20"/>
          <w:szCs w:val="20"/>
          <w:color w:val="auto"/>
        </w:rPr>
      </w:pPr>
    </w:p>
    <w:p>
      <w:pPr>
        <w:ind w:right="60" w:firstLine="177"/>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2360" w:type="dxa"/>
            <w:vAlign w:val="bottom"/>
            <w:shd w:val="clear" w:color="auto" w:fill="CCEEFF"/>
          </w:tcPr>
          <w:p>
            <w:pPr>
              <w:jc w:val="right"/>
              <w:ind w:right="21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June 30, 2022</w:t>
            </w:r>
          </w:p>
        </w:tc>
        <w:tc>
          <w:tcPr>
            <w:tcW w:w="2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30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we did not have material unsatisfied performance obligations for contracts expected to be long-term or contracts for which we recognize revenue at an amount other than for which we have the right to invoice for goods or services delivered or performed.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Business Segments</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2021 10-K.</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evaluating financial performance, our Chief Operating Decision Maker focuses on AEBITDA as management’s primary segment measure of profit or loss, which is described in footnote (2) to the below table. The accounting policies of our business segments are the same as those described within the Notes in our 2021 10-K. The following tables present our segment information:</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wp:posOffset>
            </wp:positionV>
            <wp:extent cx="708914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i w:val="1"/>
          <w:iCs w:val="1"/>
          <w:color w:val="auto"/>
        </w:rPr>
        <w:t>Reconciling items to Net loss from continuing operations before income taxes: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(82)</w:t>
            </w: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6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 transactions</w:t>
            </w:r>
          </w:p>
        </w:tc>
        <w:tc>
          <w:tcPr>
            <w:tcW w:w="16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debt and other</w:t>
            </w:r>
          </w:p>
        </w:tc>
        <w:tc>
          <w:tcPr>
            <w:tcW w:w="1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55"/>
        </w:trPr>
        <w:tc>
          <w:tcPr>
            <w:tcW w:w="37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 operations before</w:t>
            </w:r>
          </w:p>
        </w:tc>
        <w:tc>
          <w:tcPr>
            <w:tcW w:w="16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57"/>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6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ind w:left="60" w:right="660"/>
        <w:spacing w:after="0" w:line="234" w:lineRule="auto"/>
        <w:tabs>
          <w:tab w:leader="none" w:pos="26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14" w:lineRule="exact"/>
        <w:rPr>
          <w:rFonts w:ascii="Times New Roman" w:cs="Times New Roman" w:eastAsia="Times New Roman" w:hAnsi="Times New Roman"/>
          <w:sz w:val="14"/>
          <w:szCs w:val="14"/>
          <w:color w:val="auto"/>
        </w:rPr>
      </w:pPr>
    </w:p>
    <w:p>
      <w:pPr>
        <w:jc w:val="center"/>
        <w:ind w:left="60" w:right="200"/>
        <w:spacing w:after="0" w:line="222" w:lineRule="auto"/>
        <w:tabs>
          <w:tab w:leader="none" w:pos="26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costs and other unusual items; (3) interest expense; (4) loss on debt refinancing transactions;</w:t>
      </w:r>
    </w:p>
    <w:p>
      <w:pPr>
        <w:spacing w:after="0" w:line="1" w:lineRule="exact"/>
        <w:rPr>
          <w:rFonts w:ascii="Times New Roman" w:cs="Times New Roman" w:eastAsia="Times New Roman" w:hAnsi="Times New Roman"/>
          <w:sz w:val="14"/>
          <w:szCs w:val="14"/>
          <w:color w:val="auto"/>
        </w:rPr>
      </w:pPr>
    </w:p>
    <w:p>
      <w:pPr>
        <w:ind w:left="60" w:right="400"/>
        <w:spacing w:after="0" w:line="229" w:lineRule="auto"/>
        <w:tabs>
          <w:tab w:leader="none" w:pos="26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investments and remeasurement of debt and other; (6) other income, net, including foreign currency (gains) losses and earnings from equity investments; and (7) stock-based compensation. AEBITDA is presented as our primary segment measure of profit or loss.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loss from continuing operations before income taxes:</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remeasurement of debt and other</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55"/>
        </w:trPr>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 operations before</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ind w:left="60" w:right="660"/>
        <w:spacing w:after="0" w:line="244" w:lineRule="auto"/>
        <w:tabs>
          <w:tab w:leader="none" w:pos="26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ind w:left="260" w:hanging="200"/>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Reconciling Items</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loss from continuing operations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refinancing transactions</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debt and other</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from continuing operations before</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ind w:left="20" w:right="440" w:firstLine="6"/>
        <w:spacing w:after="0" w:line="244" w:lineRule="auto"/>
        <w:tabs>
          <w:tab w:leader="none" w:pos="2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from continuing operations before income taxes.</w:t>
      </w:r>
    </w:p>
    <w:p>
      <w:pPr>
        <w:ind w:left="220" w:hanging="194"/>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4.</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31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loss from continuing operations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remeasurement of debt and other</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64"/>
        </w:trPr>
        <w:tc>
          <w:tcPr>
            <w:tcW w:w="32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loss from continuing operations before</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ind w:left="20" w:right="640" w:firstLine="6"/>
        <w:spacing w:after="0" w:line="244" w:lineRule="auto"/>
        <w:tabs>
          <w:tab w:leader="none" w:pos="2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4.</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and Other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Restructuring and other includes charges or expenses attributable to: (i) employee severance; (ii) management restructuring and related costs;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4" w:right="399" w:bottom="1440" w:gutter="0" w:footer="0" w:header="0"/>
        </w:sectPr>
      </w:pPr>
    </w:p>
    <w:bookmarkStart w:id="17" w:name="page18"/>
    <w:bookmarkEnd w:id="17"/>
    <w:p>
      <w:pPr>
        <w:ind w:right="460"/>
        <w:spacing w:after="0" w:line="282" w:lineRule="auto"/>
        <w:rPr>
          <w:sz w:val="20"/>
          <w:szCs w:val="20"/>
          <w:color w:val="auto"/>
        </w:rPr>
      </w:pPr>
      <w:r>
        <w:rPr>
          <w:rFonts w:ascii="Times New Roman" w:cs="Times New Roman" w:eastAsia="Times New Roman" w:hAnsi="Times New Roman"/>
          <w:sz w:val="18"/>
          <w:szCs w:val="18"/>
          <w:color w:val="auto"/>
        </w:rPr>
        <w:t>acquisition and disposition related costs and other unusual items. The following table summarizes pre-tax restructuring and other costs for the periods presented:</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9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review and related</w:t>
            </w: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acquisition consideration</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Represents contingent consideration fair value adjustment (see Note 12).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Receivables, Allowance for Credit Losses and Credit Quality of Receivables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20" w:type="dxa"/>
            <w:vAlign w:val="bottom"/>
            <w:tcBorders>
              <w:bottom w:val="single" w:sz="8" w:color="auto"/>
            </w:tcBorders>
          </w:tcPr>
          <w:p>
            <w:pPr>
              <w:spacing w:after="0"/>
              <w:rPr>
                <w:sz w:val="18"/>
                <w:szCs w:val="18"/>
                <w:color w:val="auto"/>
              </w:rPr>
            </w:pPr>
          </w:p>
        </w:tc>
      </w:tr>
      <w:tr>
        <w:trPr>
          <w:trHeight w:val="211"/>
        </w:trPr>
        <w:tc>
          <w:tcPr>
            <w:tcW w:w="714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57"/>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tcPr>
          <w:p>
            <w:pPr>
              <w:jc w:val="right"/>
              <w:ind w:right="14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5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7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Current receivables, net</w:t>
            </w:r>
          </w:p>
        </w:tc>
        <w:tc>
          <w:tcPr>
            <w:tcW w:w="1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5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Long-term receivables, net</w:t>
            </w:r>
          </w:p>
        </w:tc>
        <w:tc>
          <w:tcPr>
            <w:tcW w:w="1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1620" w:type="dxa"/>
            <w:vAlign w:val="bottom"/>
            <w:tcBorders>
              <w:bottom w:val="single" w:sz="8" w:color="auto"/>
            </w:tcBorders>
            <w:shd w:val="clear" w:color="auto" w:fill="CCEEFF"/>
          </w:tcPr>
          <w:p>
            <w:pPr>
              <w:jc w:val="right"/>
              <w:ind w:right="14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0"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summarizes geographical delinquencies of total receivables, net: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200" w:type="dxa"/>
            <w:vAlign w:val="bottom"/>
          </w:tcPr>
          <w:p>
            <w:pPr>
              <w:spacing w:after="0"/>
              <w:rPr>
                <w:sz w:val="13"/>
                <w:szCs w:val="13"/>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Pr>
          <w:p>
            <w:pPr>
              <w:spacing w:after="0"/>
              <w:rPr>
                <w:sz w:val="13"/>
                <w:szCs w:val="13"/>
                <w:color w:val="auto"/>
              </w:rPr>
            </w:pPr>
          </w:p>
        </w:tc>
        <w:tc>
          <w:tcPr>
            <w:tcW w:w="1720" w:type="dxa"/>
            <w:vAlign w:val="bottom"/>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and Canada</w:t>
            </w:r>
          </w:p>
        </w:tc>
        <w:tc>
          <w:tcPr>
            <w:tcW w:w="144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receivables</w:t>
            </w:r>
          </w:p>
        </w:tc>
        <w:tc>
          <w:tcPr>
            <w:tcW w:w="1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and Canada</w:t>
            </w:r>
          </w:p>
        </w:tc>
        <w:tc>
          <w:tcPr>
            <w:tcW w:w="1440" w:type="dxa"/>
            <w:vAlign w:val="bottom"/>
            <w:shd w:val="clear" w:color="auto" w:fill="CCEEFF"/>
          </w:tcPr>
          <w:p>
            <w:pPr>
              <w:spacing w:after="0"/>
              <w:rPr>
                <w:sz w:val="19"/>
                <w:szCs w:val="19"/>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14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44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each of the three and six months ended June 30, 2022 and 2021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48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8"/>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06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0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w:t>
            </w:r>
          </w:p>
        </w:tc>
        <w:tc>
          <w:tcPr>
            <w:tcW w:w="10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1"/>
        </w:trPr>
        <w:tc>
          <w:tcPr>
            <w:tcW w:w="4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Allowance for credit losses as of June 30</w:t>
            </w:r>
          </w:p>
        </w:tc>
        <w:tc>
          <w:tcPr>
            <w:tcW w:w="1060" w:type="dxa"/>
            <w:vAlign w:val="bottom"/>
            <w:tcBorders>
              <w:bottom w:val="single" w:sz="8" w:color="auto"/>
            </w:tcBorders>
            <w:shd w:val="clear" w:color="auto" w:fill="CCEEFF"/>
          </w:tcPr>
          <w:p>
            <w:pPr>
              <w:jc w:val="right"/>
              <w:ind w:right="8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320" w:firstLine="648"/>
        <w:spacing w:after="0" w:line="414" w:lineRule="auto"/>
        <w:rPr>
          <w:sz w:val="20"/>
          <w:szCs w:val="20"/>
          <w:color w:val="auto"/>
        </w:rPr>
      </w:pPr>
      <w:r>
        <w:rPr>
          <w:rFonts w:ascii="Times New Roman" w:cs="Times New Roman" w:eastAsia="Times New Roman" w:hAnsi="Times New Roman"/>
          <w:sz w:val="18"/>
          <w:szCs w:val="18"/>
          <w:color w:val="auto"/>
        </w:rPr>
        <w:t xml:space="preserve">As of June 30, 2022, 5% of our total receivables, net, were past due by over 90 days compared to 13% as of December 31, 2021. </w:t>
      </w:r>
      <w:r>
        <w:rPr>
          <w:rFonts w:ascii="Times New Roman" w:cs="Times New Roman" w:eastAsia="Times New Roman" w:hAnsi="Times New Roman"/>
          <w:sz w:val="18"/>
          <w:szCs w:val="18"/>
          <w:i w:val="1"/>
          <w:iCs w:val="1"/>
          <w:color w:val="auto"/>
        </w:rPr>
        <w:t>Credit Quality of Receivables</w:t>
      </w:r>
    </w:p>
    <w:p>
      <w:pPr>
        <w:spacing w:after="0" w:line="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primarily in the Latin America region (“LATAM”) and are primarily comprised of Mexico, Peru and Argentina. The following table summarizes our LATAM receivables: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211"/>
        </w:trPr>
        <w:tc>
          <w:tcPr>
            <w:tcW w:w="2680" w:type="dxa"/>
            <w:vAlign w:val="bottom"/>
          </w:tcPr>
          <w:p>
            <w:pPr>
              <w:spacing w:after="0"/>
              <w:rPr>
                <w:sz w:val="18"/>
                <w:szCs w:val="18"/>
                <w:color w:val="auto"/>
              </w:rPr>
            </w:pPr>
          </w:p>
        </w:tc>
        <w:tc>
          <w:tcPr>
            <w:tcW w:w="1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Current or Not Yet Due</w:t>
            </w:r>
          </w:p>
        </w:tc>
        <w:tc>
          <w:tcPr>
            <w:tcW w:w="28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880" w:type="dxa"/>
            <w:vAlign w:val="bottom"/>
            <w:tcBorders>
              <w:top w:val="single" w:sz="8" w:color="auto"/>
            </w:tcBorders>
            <w:shd w:val="clear" w:color="auto" w:fill="CCEEFF"/>
          </w:tcPr>
          <w:p>
            <w:pPr>
              <w:jc w:val="right"/>
              <w:ind w:right="16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tcBorders>
            <w:shd w:val="clear" w:color="auto" w:fill="CCEEFF"/>
          </w:tcPr>
          <w:p>
            <w:pPr>
              <w:jc w:val="center"/>
              <w:ind w:left="1894"/>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top w:val="single" w:sz="8" w:color="auto"/>
            </w:tcBorders>
            <w:shd w:val="clear" w:color="auto" w:fill="CCEEFF"/>
          </w:tcPr>
          <w:p>
            <w:pPr>
              <w:jc w:val="center"/>
              <w:ind w:left="2432"/>
              <w:spacing w:after="0"/>
              <w:rPr>
                <w:sz w:val="20"/>
                <w:szCs w:val="20"/>
                <w:color w:val="auto"/>
              </w:rPr>
            </w:pPr>
            <w:r>
              <w:rPr>
                <w:rFonts w:ascii="Times New Roman" w:cs="Times New Roman" w:eastAsia="Times New Roman" w:hAnsi="Times New Roman"/>
                <w:sz w:val="18"/>
                <w:szCs w:val="18"/>
                <w:color w:val="auto"/>
                <w:w w:val="99"/>
              </w:rPr>
              <w:t>38</w:t>
            </w:r>
          </w:p>
        </w:tc>
      </w:tr>
      <w:tr>
        <w:trPr>
          <w:trHeight w:val="23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894"/>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center"/>
              <w:ind w:left="2432"/>
              <w:spacing w:after="0"/>
              <w:rPr>
                <w:sz w:val="20"/>
                <w:szCs w:val="20"/>
                <w:color w:val="auto"/>
              </w:rPr>
            </w:pPr>
            <w:r>
              <w:rPr>
                <w:rFonts w:ascii="Times New Roman" w:cs="Times New Roman" w:eastAsia="Times New Roman" w:hAnsi="Times New Roman"/>
                <w:sz w:val="18"/>
                <w:szCs w:val="18"/>
                <w:color w:val="auto"/>
                <w:w w:val="99"/>
              </w:rPr>
              <w:t>(11)</w:t>
            </w: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80" w:type="dxa"/>
            <w:vAlign w:val="bottom"/>
            <w:tcBorders>
              <w:bottom w:val="single" w:sz="8" w:color="auto"/>
            </w:tcBorders>
            <w:shd w:val="clear" w:color="auto" w:fill="CCEEFF"/>
          </w:tcPr>
          <w:p>
            <w:pPr>
              <w:jc w:val="right"/>
              <w:ind w:right="16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center"/>
              <w:ind w:left="1894"/>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auto"/>
            </w:tcBorders>
            <w:shd w:val="clear" w:color="auto" w:fill="CCEEFF"/>
          </w:tcPr>
          <w:p>
            <w:pPr>
              <w:jc w:val="center"/>
              <w:ind w:left="2432"/>
              <w:spacing w:after="0"/>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arise,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10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June 30, 2022 and December 31, 2021,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211"/>
        </w:trPr>
        <w:tc>
          <w:tcPr>
            <w:tcW w:w="70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3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1620" w:type="dxa"/>
            <w:vAlign w:val="bottom"/>
            <w:shd w:val="clear" w:color="auto" w:fill="CCEEFF"/>
          </w:tcPr>
          <w:p>
            <w:pPr>
              <w:jc w:val="right"/>
              <w:ind w:right="14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20" w:type="dxa"/>
            <w:vAlign w:val="bottom"/>
            <w:tcBorders>
              <w:bottom w:val="single" w:sz="8" w:color="auto"/>
            </w:tcBorders>
            <w:shd w:val="clear" w:color="auto" w:fill="CCEEFF"/>
          </w:tcPr>
          <w:p>
            <w:pPr>
              <w:jc w:val="right"/>
              <w:ind w:right="14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consists of gaming machines for sale.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left="12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5"/>
        </w:trPr>
        <w:tc>
          <w:tcPr>
            <w:tcW w:w="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11220" w:type="dxa"/>
            <w:vAlign w:val="bottom"/>
            <w:gridSpan w:val="15"/>
          </w:tcPr>
          <w:p>
            <w:pPr>
              <w:ind w:left="64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 sales and Other operating expenses and is separately presented within</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D&amp;A.</w:t>
            </w: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6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8"/>
          </w:tcPr>
          <w:p>
            <w:pPr>
              <w:ind w:left="8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intangible assets as of June 30, 2022 and 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60" w:type="dxa"/>
            <w:vAlign w:val="bottom"/>
            <w:gridSpan w:val="4"/>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1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80" w:type="dxa"/>
            <w:vAlign w:val="bottom"/>
            <w:gridSpan w:val="3"/>
          </w:tcPr>
          <w:p>
            <w:pPr>
              <w:jc w:val="center"/>
              <w:ind w:left="9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020" w:type="dxa"/>
            <w:vAlign w:val="bottom"/>
            <w:gridSpan w:val="12"/>
          </w:tcPr>
          <w:p>
            <w:pPr>
              <w:ind w:left="64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10"/>
          </w:tcPr>
          <w:p>
            <w:pPr>
              <w:ind w:left="8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business segment for the period from December 31, 2021 to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2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60" w:type="dxa"/>
            <w:vAlign w:val="bottom"/>
            <w:shd w:val="clear" w:color="auto" w:fill="CCEEFF"/>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30"/>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goodwill</w:t>
            </w:r>
          </w:p>
        </w:tc>
        <w:tc>
          <w:tcPr>
            <w:tcW w:w="13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360" w:type="dxa"/>
            <w:vAlign w:val="bottom"/>
            <w:tcBorders>
              <w:bottom w:val="single" w:sz="8" w:color="auto"/>
            </w:tcBorders>
          </w:tcPr>
          <w:p>
            <w:pPr>
              <w:jc w:val="right"/>
              <w:ind w:right="11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0"/>
        </w:trPr>
        <w:tc>
          <w:tcPr>
            <w:tcW w:w="3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June 30, 2022 were $989 million.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Software,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left="125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net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bottom w:val="single" w:sz="8" w:color="CCEEFF"/>
            </w:tcBorders>
            <w:gridSpan w:val="4"/>
            <w:vMerge w:val="restart"/>
          </w:tcPr>
          <w:p>
            <w:pPr>
              <w:ind w:left="640"/>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tc>
        <w:tc>
          <w:tcPr>
            <w:tcW w:w="1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576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8"/>
          </w:tcPr>
          <w:p>
            <w:pPr>
              <w:ind w:left="8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Long-Term and Other Debt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Debt and Finance Leases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 (in order of priority and maturity):</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57"/>
        </w:trPr>
        <w:tc>
          <w:tcPr>
            <w:tcW w:w="3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Rate(s)</w:t>
            </w:r>
          </w:p>
        </w:tc>
        <w:tc>
          <w:tcPr>
            <w:tcW w:w="200" w:type="dxa"/>
            <w:vAlign w:val="bottom"/>
          </w:tcPr>
          <w:p>
            <w:pPr>
              <w:spacing w:after="0"/>
              <w:rPr>
                <w:sz w:val="14"/>
                <w:szCs w:val="14"/>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SGI Term Loan B-5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variable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SciPlay Revolver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variable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SGI Revolver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variable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SGI Term Loan B</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variable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SGI Senior Notes: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 Secured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Secured Euro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 Unsecured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Unsecured Euro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 Unsecured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Unsecured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 Unsecured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88"/>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0" w:type="dxa"/>
            <w:vAlign w:val="bottom"/>
          </w:tcPr>
          <w:p>
            <w:pPr>
              <w:spacing w:after="0"/>
              <w:rPr>
                <w:sz w:val="1"/>
                <w:szCs w:val="1"/>
                <w:color w:val="auto"/>
              </w:rPr>
            </w:pPr>
          </w:p>
        </w:tc>
      </w:tr>
      <w:tr>
        <w:trPr>
          <w:trHeight w:val="190"/>
        </w:trPr>
        <w:tc>
          <w:tcPr>
            <w:tcW w:w="3660" w:type="dxa"/>
            <w:vAlign w:val="bottom"/>
            <w:tcBorders>
              <w:top w:val="single" w:sz="8" w:color="CCEEFF"/>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9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2022 Refinancing</w:t>
      </w:r>
    </w:p>
    <w:p>
      <w:pPr>
        <w:spacing w:after="0" w:line="16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April 14, 2022, we completed a series of refinancing transactions, which, combined with other principal payments on the SGI Term Loan B-5 and SGI Revolver in April 2022, reduced the outstanding face value of our debt by $4,957 million, from $8,910 million as of March 31, 2022 to $3,953 million immediately after the completion of these transactions.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part of these transactions, we entered into the new credit agreements, which contains the following debt facilities:</w:t>
      </w:r>
    </w:p>
    <w:p>
      <w:pPr>
        <w:spacing w:after="0" w:line="158" w:lineRule="exact"/>
        <w:rPr>
          <w:sz w:val="20"/>
          <w:szCs w:val="20"/>
          <w:color w:val="auto"/>
        </w:rPr>
      </w:pPr>
    </w:p>
    <w:p>
      <w:pPr>
        <w:ind w:left="1300" w:right="300" w:hanging="320"/>
        <w:spacing w:after="0" w:line="289" w:lineRule="auto"/>
        <w:tabs>
          <w:tab w:leader="none" w:pos="12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$2,200 million new term loan facility maturing in April 2029. The new term loan facility will bear interest at either (i) Adjusted Term SOFR Rate (as defined in the credit agreement) plus 3.00% per annum or (ii) a base rate plus 2.00% per annum. The new term loan facility amortizes in quarterly installments in aggregate amounts of equal to 1.00% of the original principal amount per year; and</w:t>
      </w:r>
    </w:p>
    <w:p>
      <w:pPr>
        <w:spacing w:after="0" w:line="90" w:lineRule="exact"/>
        <w:rPr>
          <w:rFonts w:ascii="Times New Roman" w:cs="Times New Roman" w:eastAsia="Times New Roman" w:hAnsi="Times New Roman"/>
          <w:sz w:val="17"/>
          <w:szCs w:val="17"/>
          <w:color w:val="auto"/>
        </w:rPr>
      </w:pPr>
    </w:p>
    <w:p>
      <w:pPr>
        <w:ind w:left="1300" w:hanging="320"/>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 revolving credit facility maturing in April 2027. The new revolving credit facility will bear interest at either (i) Adjusted Term SOFR Rate (or an alternative benchmark rate for non-US dollar borrowings) plus 2.00% per annum or (ii) a base rate plus 1.00% per annum, with one 0.25% per annum step-up and one 0.25% per annum step-down based on SGI’s first lien net leverage ratio at the end of future fiscal quarters.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22" w:name="page23"/>
    <w:bookmarkEnd w:id="22"/>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With the issuance of the new term loan facility and using the proceeds from the divestiture of the Lottery Business (see Note 1), we retired and redeemed the following outstanding debt and paid accrued and unpaid interest thereon plus related premiums, fees and expenses: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Face value as of</w:t>
            </w: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Paid interest</w:t>
            </w:r>
          </w:p>
        </w:tc>
        <w:tc>
          <w:tcPr>
            <w:tcW w:w="160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Premium, other fees</w:t>
            </w:r>
          </w:p>
        </w:tc>
        <w:tc>
          <w:tcPr>
            <w:tcW w:w="0" w:type="dxa"/>
            <w:vAlign w:val="bottom"/>
          </w:tcPr>
          <w:p>
            <w:pPr>
              <w:spacing w:after="0"/>
              <w:rPr>
                <w:sz w:val="1"/>
                <w:szCs w:val="1"/>
                <w:color w:val="auto"/>
              </w:rPr>
            </w:pPr>
          </w:p>
        </w:tc>
      </w:tr>
      <w:tr>
        <w:trPr>
          <w:trHeight w:val="214"/>
        </w:trPr>
        <w:tc>
          <w:tcPr>
            <w:tcW w:w="46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1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and expenses</w:t>
            </w:r>
          </w:p>
        </w:tc>
        <w:tc>
          <w:tcPr>
            <w:tcW w:w="0" w:type="dxa"/>
            <w:vAlign w:val="bottom"/>
          </w:tcPr>
          <w:p>
            <w:pPr>
              <w:spacing w:after="0"/>
              <w:rPr>
                <w:sz w:val="1"/>
                <w:szCs w:val="1"/>
                <w:color w:val="auto"/>
              </w:rPr>
            </w:pPr>
          </w:p>
        </w:tc>
      </w:tr>
      <w:tr>
        <w:trPr>
          <w:trHeight w:val="225"/>
        </w:trPr>
        <w:tc>
          <w:tcPr>
            <w:tcW w:w="4480" w:type="dxa"/>
            <w:vAlign w:val="bottom"/>
            <w:tcBorders>
              <w:top w:val="single" w:sz="8" w:color="auto"/>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SGI Term Loan B-5</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variable</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Euro Notes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3.375%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Euro Notes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8.250%</w:t>
            </w:r>
          </w:p>
        </w:tc>
        <w:tc>
          <w:tcPr>
            <w:tcW w:w="1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Premium, other fees and expenses include fees associated with SGI Term Loan B.</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credit facilities are subject to customary affirmative covenants and negative covenants as well as a financial covenant. The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is solely for the benefit of the new revolving facility, is tested at the end of each fiscal quarter if the outstanding borrowings (excluding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million of undrawn letters of credit and any cash collateralized letters of credit) under the new revolving facility exceed 30% of the commitments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revolving facility, and requires that the Company not be in excess of a maximum consolidated net first lien leverage ratio of 4.50:1.00.</w:t>
      </w:r>
    </w:p>
    <w:p>
      <w:pPr>
        <w:spacing w:after="0" w:line="13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under all debt agreements as of June 30, 2022 (for information regarding our financial covenants of all debt agreements, see Note 15 in our 2021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Refinancing Transactions</w:t>
      </w:r>
    </w:p>
    <w:p>
      <w:pPr>
        <w:spacing w:after="0" w:line="16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components of the loss on debt financing transactions resulting from debt extinguishment and modification accounting for the three and six months ended June 30, 2022. No such transactions occurred during the three and six months ended June 30,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Three and Six Months Ended</w:t>
            </w:r>
          </w:p>
        </w:tc>
      </w:tr>
      <w:tr>
        <w:trPr>
          <w:trHeight w:val="214"/>
        </w:trPr>
        <w:tc>
          <w:tcPr>
            <w:tcW w:w="8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5"/>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principal balance at premium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(premium) discount and deferred financing costs, net</w:t>
            </w:r>
          </w:p>
        </w:tc>
        <w:tc>
          <w:tcPr>
            <w:tcW w:w="2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on debt refinancing transactions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terms of our credit facilities, Secured Notes and Unsecured Notes, which were unaffected by the April 2022 Refinancing transactions, see Note 15 in our 2021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4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and for the six months ended June 30, 2022, we held the following derivative instruments that were accounted for pursuant to ASC 815: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5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used interest rate swap contracts as described below to mitigate gains or losses associated with the change in expected cash flows due to fluctuations in interest rates on our variable rate debt.</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February 2018, we entered into interest rate swap contracts to hedge a portion of our interest expense associated with our variable rate debt to effectively fix the interest rate that we pay. These interest rate swap contracts were designated as cash flow hedges under ASC 815. We paid interest at a weighted-average fixed rate of 2.4418% and received interest at a variable rate equal to one-month LIBOR. The total notional amount of interest rate swaps was $800 million. These hedges matured in February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new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CME Term SOFR. The total notional amount of interest rate swaps was $700 million as of June 30, 2022. These hedges mature in April 2027.</w:t>
      </w:r>
    </w:p>
    <w:p>
      <w:pPr>
        <w:spacing w:after="0" w:line="11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were recorded in Other comprehensive income (loss) until the future underlying payment transactions occur. Any realized gains or losses resulting from the hedges were recognized (together with the hedged transaction) as Interest expense. We estimated the fair value of our interest rate swap contracts by discounting the future cash flows of both the fixed rate and variable rate interest payments based on market yield curves. The inputs used to measure the fair value of our interest rate swap contracts were categorized as Level 2 in the fair value hierarchy as established by ASC 820.</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Gain (loss) and Interest expense recognized on our interest rate swap contracts: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6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recorded in accumulated other comprehensive loss, net of tax</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recorded related to interest rate swap contracts</w:t>
            </w:r>
          </w:p>
        </w:tc>
        <w:tc>
          <w:tcPr>
            <w:tcW w:w="9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to reclassify material amounts from Accumulated other comprehensive loss to interest expense in the next twelve months.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in the consolidated statements of operations:</w:t>
      </w:r>
    </w:p>
    <w:p>
      <w:pPr>
        <w:sectPr>
          <w:pgSz w:w="11900" w:h="16838" w:orient="portrait"/>
          <w:cols w:equalWidth="0" w:num="1">
            <w:col w:w="11240"/>
          </w:cols>
          <w:pgMar w:left="320" w:top="931" w:right="339" w:bottom="1440" w:gutter="0" w:footer="0" w:header="0"/>
        </w:sectPr>
      </w:pPr>
    </w:p>
    <w:p>
      <w:pPr>
        <w:spacing w:after="0" w:line="20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21590</wp:posOffset>
            </wp:positionV>
            <wp:extent cx="1731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6" w:lineRule="exact"/>
        <w:rPr>
          <w:sz w:val="20"/>
          <w:szCs w:val="20"/>
          <w:color w:val="auto"/>
        </w:rPr>
      </w:pPr>
    </w:p>
    <w:p>
      <w:pPr>
        <w:ind w:left="6080"/>
        <w:spacing w:after="0"/>
        <w:tabs>
          <w:tab w:leader="none" w:pos="74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21590</wp:posOffset>
            </wp:positionV>
            <wp:extent cx="1731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21590</wp:posOffset>
            </wp:positionV>
            <wp:extent cx="1739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6" w:lineRule="exact"/>
        <w:rPr>
          <w:sz w:val="20"/>
          <w:szCs w:val="20"/>
          <w:color w:val="auto"/>
        </w:rPr>
      </w:pPr>
    </w:p>
    <w:p>
      <w:pPr>
        <w:ind w:left="80"/>
        <w:spacing w:after="0"/>
        <w:tabs>
          <w:tab w:leader="none" w:pos="14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21590</wp:posOffset>
            </wp:positionV>
            <wp:extent cx="17399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28" w:lineRule="exact"/>
        <w:rPr>
          <w:sz w:val="20"/>
          <w:szCs w:val="20"/>
          <w:color w:val="auto"/>
        </w:rPr>
      </w:pPr>
    </w:p>
    <w:p>
      <w:pPr>
        <w:sectPr>
          <w:pgSz w:w="11900" w:h="16838" w:orient="portrait"/>
          <w:cols w:equalWidth="0" w:num="2">
            <w:col w:w="8200" w:space="720"/>
            <w:col w:w="232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which reflects the effects of cash flow hedges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56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w:t>
            </w: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Cross-Currency Interest Rate Swaps</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entered into certain cross-currency interest rate swap agreements to achieve more beneficial interest rates by effectively converting $460 million of our fixed-rate U.S. Dollar-denominated 2025 Secured Notes, including the semi-annual interest payments through October 2023, to fixed-rate Euro-denominated debt, with a fixed annual weighted average interest rate of approximately 2.946%. We designated these cross-currency interest rate swap agreements as a net investment hedge of our investments in certain of our international subsidiaries that use the Euro as their functional currency in order to reduce the volatility in our operating results caused by the changes in foreign currency exchange rates of the Euro relative to the U.S. Dollar.</w:t>
      </w:r>
    </w:p>
    <w:p>
      <w:pPr>
        <w:spacing w:after="0" w:line="1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used the spot method to measure the effectiveness of our net investment hedge. Under this method, for each reporting period, the change in the fair value of the $460 million cross-currency interest rate swaps was reported in Foreign currency translation gain (loss) in Accumulated other comprehensive loss. The cross-currency basis spread (along with other components of the cross-currency swap’s fair value excluded from the spot method effectiveness assessment) were amortized and recorded to Interest expense. We evaluated the effectiveness of our net investment hedge at the beginning of each quarter.</w:t>
      </w:r>
    </w:p>
    <w:p>
      <w:pPr>
        <w:spacing w:after="0" w:line="11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 April 2022 and as a result of the April 2022 Refinancing, we settled our cross-currency interest rate swaps and received approximately $50 million in cash proceeds.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00" w:type="dxa"/>
            <w:vAlign w:val="bottom"/>
            <w:tcBorders>
              <w:bottom w:val="single" w:sz="8" w:color="auto"/>
            </w:tcBorders>
          </w:tcPr>
          <w:p>
            <w:pPr>
              <w:spacing w:after="0"/>
              <w:rPr>
                <w:sz w:val="18"/>
                <w:szCs w:val="18"/>
                <w:color w:val="auto"/>
              </w:rPr>
            </w:pPr>
          </w:p>
        </w:tc>
      </w:tr>
      <w:tr>
        <w:trPr>
          <w:trHeight w:val="214"/>
        </w:trPr>
        <w:tc>
          <w:tcPr>
            <w:tcW w:w="3900" w:type="dxa"/>
            <w:vAlign w:val="bottom"/>
          </w:tcPr>
          <w:p>
            <w:pPr>
              <w:spacing w:after="0"/>
              <w:rPr>
                <w:sz w:val="18"/>
                <w:szCs w:val="18"/>
                <w:color w:val="auto"/>
              </w:rPr>
            </w:pPr>
          </w:p>
        </w:tc>
        <w:tc>
          <w:tcPr>
            <w:tcW w:w="3420" w:type="dxa"/>
            <w:vAlign w:val="bottom"/>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300" w:type="dxa"/>
            <w:vAlign w:val="bottom"/>
          </w:tcPr>
          <w:p>
            <w:pPr>
              <w:spacing w:after="0"/>
              <w:rPr>
                <w:sz w:val="18"/>
                <w:szCs w:val="18"/>
                <w:color w:val="auto"/>
              </w:rPr>
            </w:pPr>
          </w:p>
        </w:tc>
        <w:tc>
          <w:tcPr>
            <w:tcW w:w="1920" w:type="dxa"/>
            <w:vAlign w:val="bottom"/>
            <w:gridSpan w:val="3"/>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7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5"/>
        </w:trPr>
        <w:tc>
          <w:tcPr>
            <w:tcW w:w="390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(1)(2)</w:t>
            </w:r>
          </w:p>
        </w:tc>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(1)(3)</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Cross-currency interest rate swaps</w:t>
            </w:r>
            <w:r>
              <w:rPr>
                <w:rFonts w:ascii="Times New Roman" w:cs="Times New Roman" w:eastAsia="Times New Roman" w:hAnsi="Times New Roman"/>
                <w:sz w:val="23"/>
                <w:szCs w:val="23"/>
                <w:color w:val="auto"/>
                <w:vertAlign w:val="superscript"/>
              </w:rPr>
              <w:t>(1)(4)</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inputs used to measure the fair value of our interest rate swap contracts were categorized as Level 2 in the fair value hierarchy.</w:t>
      </w:r>
    </w:p>
    <w:p>
      <w:pPr>
        <w:spacing w:after="0" w:line="32"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matured in February 2022.</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mature in April 2027.</w:t>
      </w:r>
    </w:p>
    <w:p>
      <w:pPr>
        <w:spacing w:after="0" w:line="41" w:lineRule="exact"/>
        <w:rPr>
          <w:rFonts w:ascii="Times New Roman" w:cs="Times New Roman" w:eastAsia="Times New Roman" w:hAnsi="Times New Roman"/>
          <w:sz w:val="14"/>
          <w:szCs w:val="14"/>
          <w:color w:val="auto"/>
        </w:rPr>
      </w:pPr>
    </w:p>
    <w:p>
      <w:pPr>
        <w:ind w:left="20" w:right="60" w:firstLine="6"/>
        <w:spacing w:after="0" w:line="241" w:lineRule="auto"/>
        <w:tabs>
          <w:tab w:leader="none" w:pos="2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of $— million and $4 million for the three and six months ended June 30, 2022, respectively, and loss of $8 million and gain of $13 million for the three and six months ended June 30, 2021, respectively, are reflected in Foreign currency translation gain (loss) in Other comprehensive income (loss).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Non-derivative Hedge — 2026 Secured Euro Notes</w:t>
      </w:r>
    </w:p>
    <w:p>
      <w:pPr>
        <w:spacing w:after="0" w:line="16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April 2022 Refinancing described above, we redeemed all of 2026 Secured Euro Notes and no longer have a designated net investment hedge.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2021 to June 30,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40" w:type="dxa"/>
            <w:vAlign w:val="bottom"/>
          </w:tcPr>
          <w:p>
            <w:pPr>
              <w:spacing w:after="0"/>
              <w:rPr>
                <w:sz w:val="16"/>
                <w:szCs w:val="16"/>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58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58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Fair value adjustments</w:t>
            </w:r>
            <w:r>
              <w:rPr>
                <w:rFonts w:ascii="Times New Roman" w:cs="Times New Roman" w:eastAsia="Times New Roman" w:hAnsi="Times New Roman"/>
                <w:sz w:val="23"/>
                <w:szCs w:val="23"/>
                <w:color w:val="auto"/>
                <w:vertAlign w:val="superscript"/>
              </w:rPr>
              <w:t>(1)</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58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87</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Amount included in Restructuring and other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(13) Stockholders’ Equity (Deficit)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Stockholders’ Equity (Deficit)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stockholders’ equity (deficit) as of June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ind w:left="80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5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w:t>
            </w: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156"/>
        </w:trPr>
        <w:tc>
          <w:tcPr>
            <w:tcW w:w="25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Settlement of liability awards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 net</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withholdings</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withholdings and other</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Purchase of SciPlay’s common</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30"/>
        </w:trPr>
        <w:tc>
          <w:tcPr>
            <w:tcW w:w="2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comprehensive loss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1"/>
        </w:trPr>
        <w:tc>
          <w:tcPr>
            <w:tcW w:w="25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Includes reclassification of $23 million accumulated other comprehensive loss into income due to the sale of Lottery Business (see Note 2).</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5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Paid in</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155"/>
        </w:trPr>
        <w:tc>
          <w:tcPr>
            <w:tcW w:w="25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2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total stock-based compensation expense recognized under all programs in our continuing operations: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39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L&amp;W stock options</w:t>
            </w: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to L&amp;W RSUs</w:t>
            </w: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SciPlay RSUs</w:t>
            </w: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
        </w:trPr>
        <w:tc>
          <w:tcPr>
            <w:tcW w:w="3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the three months ended June 30, 2022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Restricted Stock</w:t>
            </w:r>
          </w:p>
        </w:tc>
        <w:tc>
          <w:tcPr>
            <w:tcW w:w="12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r>
      <w:tr>
        <w:trPr>
          <w:trHeight w:val="214"/>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2021</w:t>
            </w:r>
          </w:p>
        </w:tc>
        <w:tc>
          <w:tcPr>
            <w:tcW w:w="2180" w:type="dxa"/>
            <w:vAlign w:val="bottom"/>
            <w:shd w:val="clear" w:color="auto" w:fill="CCEEFF"/>
          </w:tcPr>
          <w:p>
            <w:pPr>
              <w:jc w:val="center"/>
              <w:ind w:left="173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tcPr>
          <w:p>
            <w:pPr>
              <w:jc w:val="center"/>
              <w:ind w:left="1733"/>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shd w:val="clear" w:color="auto" w:fill="CCEEFF"/>
          </w:tcPr>
          <w:p>
            <w:pPr>
              <w:jc w:val="center"/>
              <w:ind w:left="1713"/>
              <w:spacing w:after="0"/>
              <w:rPr>
                <w:sz w:val="20"/>
                <w:szCs w:val="20"/>
                <w:color w:val="auto"/>
              </w:rPr>
            </w:pPr>
            <w:r>
              <w:rPr>
                <w:rFonts w:ascii="Times New Roman" w:cs="Times New Roman" w:eastAsia="Times New Roman" w:hAnsi="Times New Roman"/>
                <w:sz w:val="18"/>
                <w:szCs w:val="18"/>
                <w:color w:val="auto"/>
                <w:w w:val="98"/>
              </w:rPr>
              <w:t>(1.7)</w:t>
            </w:r>
          </w:p>
        </w:tc>
        <w:tc>
          <w:tcPr>
            <w:tcW w:w="54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2180" w:type="dxa"/>
            <w:vAlign w:val="bottom"/>
            <w:tcBorders>
              <w:bottom w:val="single" w:sz="8" w:color="auto"/>
            </w:tcBorders>
          </w:tcPr>
          <w:p>
            <w:pPr>
              <w:jc w:val="center"/>
              <w:ind w:left="1713"/>
              <w:spacing w:after="0"/>
              <w:rPr>
                <w:sz w:val="20"/>
                <w:szCs w:val="20"/>
                <w:color w:val="auto"/>
              </w:rPr>
            </w:pPr>
            <w:r>
              <w:rPr>
                <w:rFonts w:ascii="Times New Roman" w:cs="Times New Roman" w:eastAsia="Times New Roman" w:hAnsi="Times New Roman"/>
                <w:sz w:val="18"/>
                <w:szCs w:val="18"/>
                <w:color w:val="auto"/>
                <w:w w:val="98"/>
              </w:rPr>
              <w:t>(0.3)</w:t>
            </w:r>
          </w:p>
        </w:tc>
        <w:tc>
          <w:tcPr>
            <w:tcW w:w="540" w:type="dxa"/>
            <w:vAlign w:val="bottom"/>
            <w:tcBorders>
              <w:bottom w:val="single" w:sz="8" w:color="CCEEFF"/>
            </w:tcBorders>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June 30, 2022</w:t>
            </w:r>
          </w:p>
        </w:tc>
        <w:tc>
          <w:tcPr>
            <w:tcW w:w="2180" w:type="dxa"/>
            <w:vAlign w:val="bottom"/>
            <w:tcBorders>
              <w:bottom w:val="single" w:sz="8" w:color="auto"/>
            </w:tcBorders>
            <w:shd w:val="clear" w:color="auto" w:fill="CCEEFF"/>
          </w:tcPr>
          <w:p>
            <w:pPr>
              <w:jc w:val="center"/>
              <w:ind w:left="1733"/>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Borders>
              <w:bottom w:val="single" w:sz="8" w:color="CCEEFF"/>
            </w:tcBorders>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660" w:firstLine="648"/>
        <w:spacing w:after="0" w:line="276" w:lineRule="auto"/>
        <w:rPr>
          <w:sz w:val="20"/>
          <w:szCs w:val="20"/>
          <w:color w:val="auto"/>
        </w:rPr>
      </w:pPr>
      <w:r>
        <w:rPr>
          <w:rFonts w:ascii="Times New Roman" w:cs="Times New Roman" w:eastAsia="Times New Roman" w:hAnsi="Times New Roman"/>
          <w:sz w:val="17"/>
          <w:szCs w:val="17"/>
          <w:color w:val="auto"/>
        </w:rPr>
        <w:t>The weighted-average grant date fair value of RSUs granted during the six months ended June 30, 2022 and 2021 was $58.30 and $53.37, respectively. The fair value of each RSU grant is based on the market value of our common stock at the time of grant. As of June 30, 2022, we had</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$73 million in total unrecognized stock-based compensation expense relating to unvested RSUs that will be amortized over a weighted-average period of approximately two years, of which $5 million related to employees of discontinued operations. The fair value at vesting date of RSUs vested during the six months ended June 30, 2022 and 2021 was $62.4 million and $42.4 million,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described in Note 17 within our 2021 10-K and in our Current Report on Form 8-K filed with the SEC on March 1, 2022, our Board of Directors approved a share repurchase program under which the Company is authorized to repurchase, from time to time through February 25, 2025, up to an aggregate amount of $750 million of our outstanding common stock over a three-year period. During the six months ended June 30, 2022, we repurchased 3.7 million shares of common stock under the program at an aggregate cost of $203 million and an average of $55.39 per share.</w:t>
      </w:r>
    </w:p>
    <w:p>
      <w:pPr>
        <w:spacing w:after="0" w:line="9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On May 9, 2022, SciPlay’s Board of Directors approved a share repurchase program under which it is authorized to repurchase, from time to time through May 9, 2024, up to an aggregate amount of $60 million of its outstanding Class A common stock. During the six months ended June 30, 2022, SciPlay repurchased 0.5 million shares of Class A common stock under the program at an aggregate cost of $7 million and an average of $13.76 per share.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June 30, 2022.</w:t>
      </w:r>
    </w:p>
    <w:p>
      <w:pPr>
        <w:spacing w:after="0" w:line="9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income tax expense (including discrete items) was $1 million and $4 million for the three and six months ended June 30, 2022, respectively, and $6 million and $9 million for the three and six months ended June 30, 2021, respectively. In 2022, our effective tax rate differs from the U.S. statutory rate of 21% primarily as a result of not benefiting year to date losses in continuing operations in accordance with the intra-period tax expense/benefit allocation rules as generally prescribed under ASC 740-20. In all periods, we recorded tax expense relative to pre-tax earnings in jurisdictions without valuation allowances, including our 19% noncontrolling interest in SciPlay.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7" w:name="page28"/>
    <w:bookmarkEnd w:id="27"/>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divestiture of the Lottery Business is estimated to generate approximately $665 million of net cash taxes, after considering the utilization of tax attributes.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total operating lease expense for the three and six months ended June 30, 2022 was $4 million and $10 million, respectively, and $5 million and $11 million for the three and six months ended June 30, 2021, respectively. The total amount of variable and short-term lease payments was immaterial for all periods presented.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5"/>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51</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88"/>
        </w:trPr>
        <w:tc>
          <w:tcPr>
            <w:tcW w:w="1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units in years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357"/>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28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41"/>
        </w:trPr>
        <w:tc>
          <w:tcPr>
            <w:tcW w:w="2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Lease liability maturities: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6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340" w:type="dxa"/>
            <w:vAlign w:val="bottom"/>
          </w:tcPr>
          <w:p>
            <w:pPr>
              <w:spacing w:after="0"/>
              <w:rPr>
                <w:sz w:val="24"/>
                <w:szCs w:val="24"/>
                <w:color w:val="auto"/>
              </w:rPr>
            </w:pPr>
          </w:p>
        </w:tc>
        <w:tc>
          <w:tcPr>
            <w:tcW w:w="7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6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Litigation</w:t>
      </w:r>
    </w:p>
    <w:p>
      <w:pPr>
        <w:spacing w:after="0" w:line="148"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proceedings, which are described in Note 20 within our 2021 10-K. There have been no material changes to these matters since the 2021 10-K was filed with the SEC on March 1, 2022, except as described below.</w:t>
      </w:r>
    </w:p>
    <w:p>
      <w:pPr>
        <w:spacing w:after="0" w:line="9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$27 million for all of our legal matters that were contingencies both as of June 30, 2022 and December 31, 2021.</w:t>
      </w:r>
    </w:p>
    <w:p>
      <w:pPr>
        <w:spacing w:after="0" w:line="12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line="217" w:lineRule="exact"/>
        <w:rPr>
          <w:sz w:val="20"/>
          <w:szCs w:val="20"/>
          <w:color w:val="auto"/>
        </w:rPr>
      </w:pPr>
      <w:r>
        <w:rPr>
          <w:rFonts w:ascii="Times New Roman" w:cs="Times New Roman" w:eastAsia="Times New Roman" w:hAnsi="Times New Roman"/>
          <w:sz w:val="18"/>
          <w:szCs w:val="18"/>
          <w:color w:val="auto"/>
        </w:rPr>
        <w:t>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in Note 20 in our 2021 10-K and this Note 16 as well as those related to the previously disclosed settlement agreement entered into in February 2015 with SNAI S.p.a.,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60" w:lineRule="exact"/>
        <w:rPr>
          <w:sz w:val="20"/>
          <w:szCs w:val="20"/>
          <w:color w:val="auto"/>
        </w:rPr>
      </w:pPr>
    </w:p>
    <w:p>
      <w:pPr>
        <w:ind w:right="500" w:firstLine="648"/>
        <w:spacing w:after="0" w:line="257" w:lineRule="auto"/>
        <w:rPr>
          <w:sz w:val="20"/>
          <w:szCs w:val="20"/>
          <w:color w:val="auto"/>
        </w:rPr>
      </w:pPr>
      <w:r>
        <w:rPr>
          <w:rFonts w:ascii="Times New Roman" w:cs="Times New Roman" w:eastAsia="Times New Roman" w:hAnsi="Times New Roman"/>
          <w:sz w:val="18"/>
          <w:szCs w:val="18"/>
          <w:color w:val="auto"/>
        </w:rPr>
        <w:t>Our subsidiary, SGI,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SGI and the other shareholders of Wintech of up to</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$5.0 million if certain levels of lottery sales were not achieved. In addition, SGI delivered to Ecosalud a $4.0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1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SGI and other shareholders of Wintech for, among other things, realization of the full amount of the penalty, plus interest, and the amount of the bond. SGI filed separate actions opposing each resolution with the Tribunal Contencioso of Cundinamarca in Colombia (the “Tribunal”), which upheld both resolutions. SGI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0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1996, Ecosalud filed a lawsuit against SGI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11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SGI to enforce the liquidation resolution and recover the claimed damages. In May 2013, the Tribunal denied SGI’s merit defenses to the collection proceeding and issued an order of payment of approximately 90 billion Colombian pesos, or approximately $30.2 million, plus default interest (potentially accrued since 1994 at a 12% statutory interest rate). SGI filed an appeal to the Council of State, and on December 10, 2020, the Council of State issued a ruling affirming the Tribunal’s decision. On December 16, 2020, SGI filed a motion for clarification of the Council of State’s ruling, which was denied on April 15, 2021. On April 22, 2021, SGI filed a motion for reconsideration relating to that decision, which the Council of State denied on February 21, 2022. On May 24, 2022, the case was transferred from the Council of State to the Tribunal for further proceedings.</w:t>
      </w:r>
    </w:p>
    <w:p>
      <w:pPr>
        <w:spacing w:after="0" w:line="121"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SGI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Tonkawa Tribe Matter</w:t>
      </w:r>
    </w:p>
    <w:p>
      <w:pPr>
        <w:spacing w:after="0" w:line="14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September 3, 2020, the Tonkawa Tribe of Indians of Oklahoma d/b/a Tonkawa Enterprises filed a putative class action complaint in the United States District Court for the District of Nevada against SGC, Bally Technologies, Inc. and SG Gaming,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Giuliano and Rancho’s Club Casino Matter</w:t>
      </w:r>
    </w:p>
    <w:p>
      <w:pPr>
        <w:spacing w:after="0" w:line="16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September 4, 2020, Alfred T. Giuliano, as liquidation trustee for RIH Acquisition NJ, LLC d/b/a The Atlantic Club Casino Hotel filed a putative class action complaint in the United States District Court for the Northern District of Illinois against SGC, Bally Technologies, Inc. and SG Gaming,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SGC, Bally Technologies, Inc. and SG Gaming,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1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Queen Matter</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SGC, Bally Technologies, Inc. and SG Gaming, f/k/a Bally Gaming, Inc. In the complaint, the plaintiffs assert federal antitrust claims arising from the defendants’ procurement of particular U.S. patents. The plaintiffs allege that the defendants used those patents to create an allegedly illegal monopoly in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We are currently unable to determine the likelihood of an outcome or estimate a range of reasonably possible losses, if any. We believe that the claims in the lawsuit are without merit, and intend to vigorously defend against them.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SGC, Bally Technologies, Inc. and SG Gaming,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On April 15, 2022, Respondents filed a motion to dismiss the claimant’s complaint, which the Arbitrator denied on July 26, 2022. We are currently unable to determine the likelihood of an outcome or estimate a range of reasonably possible losses, if any. We believe that the claims in the arbitration demand are without merit, and intend to vigorously defend against them.</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our pending litigation matters, see Note 20 in our 2021 10-K.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“Condensed Consolidated Financial Statements”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“Risk Factors” in this Quarterly Report on Form 10-Q and under Part I, Item 1 “Business,” Item 1A “Risk Factors” and Part II, Item 7 “Management’s Discussion and Analysis of Financial Condition and Results of Operations” included in our 2021 10-K.</w:t>
      </w:r>
    </w:p>
    <w:p>
      <w:pPr>
        <w:spacing w:after="0" w:line="112"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2021 10-K. As used in this MD&amp;A, the terms “we,” “us,” “our” and the “Company” mean L&amp;W together with its consolidated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We are a leading cross-platform global game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to retail customers, including casual gaming; and providing a comprehensive suite of digital RMG, distribution platforms, content, products and services to various gaming entities. Our portfolio of revenue-generating activities in the discontinued operations primarily has included providing instant and draw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lottery products, lottery systems and lottery content and services to lottery operators along with providing sports wagering solutions to various gaming entities.</w:t>
      </w:r>
    </w:p>
    <w:p>
      <w:pPr>
        <w:spacing w:after="0" w:line="12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more fully described in Part I, Item 1 “Business” in our 2021 10-K, we are executing on our strategy to become a leading cross-platform global game company with a focus on content and digital markets. We report our results of continuing operations in three business segments—Gaming, SciPlay and iGaming—representing our different products and services. See “</w:t>
      </w:r>
      <w:r>
        <w:rPr>
          <w:rFonts w:ascii="Times New Roman" w:cs="Times New Roman" w:eastAsia="Times New Roman" w:hAnsi="Times New Roman"/>
          <w:sz w:val="18"/>
          <w:szCs w:val="18"/>
          <w:i w:val="1"/>
          <w:iCs w:val="1"/>
          <w:color w:val="auto"/>
        </w:rPr>
        <w:t>Business Segments Results</w:t>
      </w:r>
      <w:r>
        <w:rPr>
          <w:rFonts w:ascii="Times New Roman" w:cs="Times New Roman" w:eastAsia="Times New Roman" w:hAnsi="Times New Roman"/>
          <w:sz w:val="18"/>
          <w:szCs w:val="18"/>
          <w:color w:val="auto"/>
        </w:rPr>
        <w:t>” below and Note 4 for additional business segment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Events</w:t>
      </w:r>
    </w:p>
    <w:p>
      <w:pPr>
        <w:spacing w:after="0" w:line="15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Re-branding - </w:t>
      </w:r>
      <w:r>
        <w:rPr>
          <w:rFonts w:ascii="Times New Roman" w:cs="Times New Roman" w:eastAsia="Times New Roman" w:hAnsi="Times New Roman"/>
          <w:sz w:val="18"/>
          <w:szCs w:val="18"/>
          <w:color w:val="auto"/>
        </w:rPr>
        <w:t>On April 18, 2022, we changed our name to “Light &amp; Wonder, Inc.”</w:t>
      </w:r>
    </w:p>
    <w:p>
      <w:pPr>
        <w:spacing w:after="0" w:line="157" w:lineRule="exact"/>
        <w:rPr>
          <w:rFonts w:ascii="Times New Roman" w:cs="Times New Roman" w:eastAsia="Times New Roman" w:hAnsi="Times New Roman"/>
          <w:sz w:val="18"/>
          <w:szCs w:val="18"/>
          <w:i w:val="1"/>
          <w:iCs w:val="1"/>
          <w:color w:val="auto"/>
        </w:rPr>
      </w:pPr>
    </w:p>
    <w:p>
      <w:pPr>
        <w:ind w:left="660" w:right="180" w:hanging="328"/>
        <w:spacing w:after="0" w:line="261" w:lineRule="auto"/>
        <w:tabs>
          <w:tab w:leader="none" w:pos="65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April 2022 Refinancing - </w:t>
      </w:r>
      <w:r>
        <w:rPr>
          <w:rFonts w:ascii="Times New Roman" w:cs="Times New Roman" w:eastAsia="Times New Roman" w:hAnsi="Times New Roman"/>
          <w:sz w:val="18"/>
          <w:szCs w:val="18"/>
          <w:color w:val="auto"/>
        </w:rPr>
        <w:t>On April 14, 2022, we completed a series of refinancing transactions, which, combined with the principal payments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SGI Term Loan B-5 and SGI Revolver in April, reduced the outstanding face value of our debt by $4,957 million, from $8,910 million as of March 31, 2022 to $3,953 million immediately after the completion of these transactions. This is a major milestone in transforming and deleveraging our balance sheet (see Note 11 for additional information).</w:t>
      </w:r>
    </w:p>
    <w:p>
      <w:pPr>
        <w:spacing w:after="0" w:line="97" w:lineRule="exact"/>
        <w:rPr>
          <w:rFonts w:ascii="Arial" w:cs="Arial" w:eastAsia="Arial" w:hAnsi="Arial"/>
          <w:sz w:val="18"/>
          <w:szCs w:val="18"/>
          <w:color w:val="auto"/>
        </w:rPr>
      </w:pPr>
    </w:p>
    <w:p>
      <w:pPr>
        <w:ind w:left="660" w:right="260" w:hanging="328"/>
        <w:spacing w:after="0" w:line="284" w:lineRule="auto"/>
        <w:tabs>
          <w:tab w:leader="none" w:pos="65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Lottery Divestiture </w:t>
      </w:r>
      <w:r>
        <w:rPr>
          <w:rFonts w:ascii="Times New Roman" w:cs="Times New Roman" w:eastAsia="Times New Roman" w:hAnsi="Times New Roman"/>
          <w:sz w:val="18"/>
          <w:szCs w:val="18"/>
          <w:color w:val="auto"/>
        </w:rPr>
        <w:t>- During the second quarter of 2022, we completed the divestiture of the Lottery Business and received $5.7 billion of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proceeds.</w:t>
      </w:r>
    </w:p>
    <w:p>
      <w:pPr>
        <w:spacing w:after="0" w:line="90" w:lineRule="exact"/>
        <w:rPr>
          <w:rFonts w:ascii="Times New Roman" w:cs="Times New Roman" w:eastAsia="Times New Roman" w:hAnsi="Times New Roman"/>
          <w:sz w:val="18"/>
          <w:szCs w:val="18"/>
          <w:i w:val="1"/>
          <w:iCs w:val="1"/>
          <w:color w:val="auto"/>
        </w:rPr>
      </w:pPr>
    </w:p>
    <w:p>
      <w:pPr>
        <w:ind w:left="660" w:right="12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Sports Divestiture </w:t>
      </w:r>
      <w:r>
        <w:rPr>
          <w:rFonts w:ascii="Times New Roman" w:cs="Times New Roman" w:eastAsia="Times New Roman" w:hAnsi="Times New Roman"/>
          <w:sz w:val="18"/>
          <w:szCs w:val="18"/>
          <w:color w:val="auto"/>
        </w:rPr>
        <w:t>- On June 30, 2022, we entered into an amendment to the agreement to sell our Sports Betting Business to Endeavor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(“Endeavor”), under which we are expected to receive $750 million in cash and an estimated $50 million in Endeavor Class A common stock, based on the volume weighted average price of such stock in the twenty days before the date of the amendment, or total gross proceeds of $800 million. The amendment also increases the speed and certainty of closing by modifying the conditions for closing, including Endeavor’s agreement to waive the closing condition requiring regulatory approval by the Nevada Gaming Control Board. The sale of the Sports Betting Business is expected to be completed in the third quarter of 2022, subject to applicable regulatory approvals and other customary conditions (see Note 1).</w:t>
      </w:r>
    </w:p>
    <w:p>
      <w:pPr>
        <w:spacing w:after="0" w:line="115" w:lineRule="exact"/>
        <w:rPr>
          <w:rFonts w:ascii="Times New Roman" w:cs="Times New Roman" w:eastAsia="Times New Roman" w:hAnsi="Times New Roman"/>
          <w:sz w:val="18"/>
          <w:szCs w:val="18"/>
          <w:color w:val="auto"/>
        </w:rPr>
      </w:pPr>
    </w:p>
    <w:p>
      <w:pPr>
        <w:ind w:left="660" w:right="480" w:hanging="328"/>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Repurchases - </w:t>
      </w:r>
      <w:r>
        <w:rPr>
          <w:rFonts w:ascii="Times New Roman" w:cs="Times New Roman" w:eastAsia="Times New Roman" w:hAnsi="Times New Roman"/>
          <w:sz w:val="18"/>
          <w:szCs w:val="18"/>
          <w:color w:val="auto"/>
        </w:rPr>
        <w:t>Since the initiation of the program on March 3, 2022 and through June 30, 2022, we returned $203 million of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through the repurchase of 3.7 million shares of common stock.</w:t>
      </w:r>
    </w:p>
    <w:p>
      <w:pPr>
        <w:spacing w:after="0" w:line="7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In March 2022, SciPlay acquired Alictus, a Turkey-based hyper-casual game studio that expands the SciPlay business in the casual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market for approximately $106 million cash consideration, net of cash acquired. In April 2022, we acquired Playzido, a dynamic content creation platform provider and game supplier, which is expected to accelerate the pace at which we can partner with game studios and operators to expand our iGaming content offering. For additional details regarding these acquisitions, see Note 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4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the COVID-19 pandemic had impacted our operating results during the first half of 2021, the operating results substantially recovered during the second half of 2021 due to the lifting of COVID-19 restrictions, such as social distancing and mask mandates. We continue to see fluctuations in infection rates and regulations for various regions along with ongoing domestic and international travel restrictions or warnings, social distancing measures, reduced operating capacity and an overall economic and general uncertainty regarding the magnitude and length of time that these disruptions will continue. Additionally, the COVID-19 pandemic has impacted supply chains in numerous industries, causing shortages of inputs/outputs, which in turn put inflationary pressures on the economy as a whole. Inflationary pressures may have an impact on discretionary income as people allocate more of their disposable income toward higher priced necessity goods and services, which could impact our customers. These circumstances may change in the future and such changes could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16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60" w:type="dxa"/>
            <w:vAlign w:val="bottom"/>
            <w:gridSpan w:val="4"/>
          </w:tcPr>
          <w:p>
            <w:pPr>
              <w:jc w:val="center"/>
              <w:ind w:right="20"/>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3"/>
                <w:szCs w:val="13"/>
                <w:color w:val="auto"/>
              </w:rPr>
            </w:pPr>
          </w:p>
        </w:tc>
        <w:tc>
          <w:tcPr>
            <w:tcW w:w="12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100" w:type="dxa"/>
            <w:vAlign w:val="bottom"/>
          </w:tcPr>
          <w:p>
            <w:pPr>
              <w:spacing w:after="0"/>
              <w:rPr>
                <w:sz w:val="13"/>
                <w:szCs w:val="13"/>
                <w:color w:val="auto"/>
              </w:rPr>
            </w:pPr>
          </w:p>
        </w:tc>
        <w:tc>
          <w:tcPr>
            <w:tcW w:w="9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4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60" w:type="dxa"/>
            <w:vAlign w:val="bottom"/>
            <w:gridSpan w:val="6"/>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w w:val="98"/>
              </w:rPr>
              <w:t>Revenue</w:t>
            </w: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6"/>
                <w:szCs w:val="16"/>
                <w:b w:val="1"/>
                <w:bCs w:val="1"/>
                <w:color w:val="auto"/>
                <w:w w:val="98"/>
              </w:rPr>
              <w:t>Revenue</w:t>
            </w:r>
          </w:p>
        </w:tc>
        <w:tc>
          <w:tcPr>
            <w:tcW w:w="960" w:type="dxa"/>
            <w:vAlign w:val="bottom"/>
            <w:gridSpan w:val="4"/>
            <w:vMerge w:val="continue"/>
          </w:tcPr>
          <w:p>
            <w:pPr>
              <w:spacing w:after="0"/>
              <w:rPr>
                <w:sz w:val="14"/>
                <w:szCs w:val="14"/>
                <w:color w:val="auto"/>
              </w:rPr>
            </w:pPr>
          </w:p>
        </w:tc>
        <w:tc>
          <w:tcPr>
            <w:tcW w:w="1000" w:type="dxa"/>
            <w:vAlign w:val="bottom"/>
            <w:gridSpan w:val="3"/>
          </w:tcPr>
          <w:p>
            <w:pPr>
              <w:jc w:val="center"/>
              <w:ind w:left="235"/>
              <w:spacing w:after="0" w:line="14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7"/>
          </w:tcPr>
          <w:p>
            <w:pPr>
              <w:jc w:val="center"/>
              <w:ind w:right="460"/>
              <w:spacing w:after="0" w:line="142" w:lineRule="exact"/>
              <w:rPr>
                <w:sz w:val="20"/>
                <w:szCs w:val="20"/>
                <w:color w:val="auto"/>
              </w:rPr>
            </w:pPr>
            <w:r>
              <w:rPr>
                <w:rFonts w:ascii="Times New Roman" w:cs="Times New Roman" w:eastAsia="Times New Roman" w:hAnsi="Times New Roman"/>
                <w:sz w:val="16"/>
                <w:szCs w:val="16"/>
                <w:b w:val="1"/>
                <w:bCs w:val="1"/>
                <w:color w:val="auto"/>
              </w:rPr>
              <w:t>Revenue</w:t>
            </w:r>
          </w:p>
        </w:tc>
        <w:tc>
          <w:tcPr>
            <w:tcW w:w="9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6"/>
                <w:szCs w:val="16"/>
                <w:b w:val="1"/>
                <w:bCs w:val="1"/>
                <w:color w:val="auto"/>
                <w:w w:val="98"/>
              </w:rPr>
              <w:t>Revenue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British Pound Sterling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5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83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7 %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96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00" w:type="dxa"/>
            <w:vAlign w:val="bottom"/>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Net loss from continuing operations before</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(45)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00" w:type="dxa"/>
            <w:vAlign w:val="bottom"/>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Net income from discontinued operations,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00" w:type="dxa"/>
            <w:vAlign w:val="bottom"/>
            <w:gridSpan w:val="5"/>
          </w:tcPr>
          <w:p>
            <w:pPr>
              <w:ind w:left="20"/>
              <w:spacing w:after="0" w:line="237" w:lineRule="exact"/>
              <w:rPr>
                <w:sz w:val="20"/>
                <w:szCs w:val="20"/>
                <w:color w:val="auto"/>
              </w:rPr>
            </w:pPr>
            <w:r>
              <w:rPr>
                <w:rFonts w:ascii="Times New Roman" w:cs="Times New Roman" w:eastAsia="Times New Roman" w:hAnsi="Times New Roman"/>
                <w:sz w:val="18"/>
                <w:szCs w:val="18"/>
                <w:color w:val="auto"/>
              </w:rPr>
              <w:t>net of tax</w:t>
            </w:r>
            <w:r>
              <w:rPr>
                <w:rFonts w:ascii="Times New Roman" w:cs="Times New Roman" w:eastAsia="Times New Roman" w:hAnsi="Times New Roman"/>
                <w:sz w:val="23"/>
                <w:szCs w:val="23"/>
                <w:color w:val="auto"/>
                <w:vertAlign w:val="superscript"/>
              </w:rPr>
              <w:t>(1)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tcPr>
          <w:p>
            <w:pPr>
              <w:spacing w:after="0"/>
              <w:rPr>
                <w:sz w:val="20"/>
                <w:szCs w:val="20"/>
                <w:color w:val="auto"/>
              </w:rPr>
            </w:pPr>
          </w:p>
        </w:tc>
        <w:tc>
          <w:tcPr>
            <w:tcW w:w="980" w:type="dxa"/>
            <w:vAlign w:val="bottom"/>
            <w:gridSpan w:val="2"/>
          </w:tcPr>
          <w:p>
            <w:pPr>
              <w:jc w:val="center"/>
              <w:ind w:left="591"/>
              <w:spacing w:after="0"/>
              <w:rPr>
                <w:sz w:val="20"/>
                <w:szCs w:val="20"/>
                <w:color w:val="auto"/>
              </w:rPr>
            </w:pPr>
            <w:r>
              <w:rPr>
                <w:rFonts w:ascii="Times New Roman" w:cs="Times New Roman" w:eastAsia="Times New Roman" w:hAnsi="Times New Roman"/>
                <w:sz w:val="18"/>
                <w:szCs w:val="18"/>
                <w:color w:val="auto"/>
                <w:w w:val="95"/>
              </w:rPr>
              <w:t>nm</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8"/>
                <w:szCs w:val="18"/>
                <w:color w:val="auto"/>
                <w:w w:val="95"/>
              </w:rPr>
              <w:t>nm</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The three and six months periods ended June 30, 2022 include pre-tax gain of $4,568 million on sale of Lottery Business (see Note 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Revenue by Business Segment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40" w:lineRule="exact"/>
        <w:rPr>
          <w:sz w:val="20"/>
          <w:szCs w:val="20"/>
          <w:color w:val="auto"/>
        </w:rPr>
      </w:pPr>
    </w:p>
    <w:p>
      <w:pPr>
        <w:ind w:left="172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Three Months Ended June 30, 2022 and 2021</w:t>
      </w:r>
      <w:r>
        <w:rPr>
          <w:sz w:val="20"/>
          <w:szCs w:val="20"/>
          <w:color w:val="auto"/>
        </w:rPr>
        <w:tab/>
      </w:r>
      <w:r>
        <w:rPr>
          <w:rFonts w:ascii="Times New Roman" w:cs="Times New Roman" w:eastAsia="Times New Roman" w:hAnsi="Times New Roman"/>
          <w:sz w:val="16"/>
          <w:szCs w:val="16"/>
          <w:b w:val="1"/>
          <w:bCs w:val="1"/>
          <w:color w:val="auto"/>
        </w:rPr>
        <w:t>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21590</wp:posOffset>
            </wp:positionV>
            <wp:extent cx="5863590" cy="1783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6359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increase in Gaming revenue for the three and six months ended June 30, 2022 was primarily due to the continued rebounding of operations since the adverse impacts of COVID-19 on 2021 comparable results, which was driven by continued increases in demand for our products and services. We are seeing continued growth and strength within our Gaming business segment. Gaming operations revenue for the three and six months ended June 30, 2021 benefited from $38 million and $44 million, respectively, due to the VAT recovery received from certain U.K. customers. The VAT recovery is related to a 2020 U.K. court ruling, associated with overcharging of value-added tax for previous services rendered to gaming operators and consequently reduced our net gaming revenue related to these customers and arrangements.</w:t>
      </w:r>
    </w:p>
    <w:p>
      <w:pPr>
        <w:spacing w:after="0" w:line="12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SciPlay revenue increased for both periods primarily as a result of an increase in advertising revenue following the Alictus acquisition in the first quarter of 2022 as well as an increase in average monthly paying users and higher payer conversion rate.</w:t>
      </w:r>
    </w:p>
    <w:p>
      <w:pPr>
        <w:spacing w:after="0" w:line="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iGaming revenue of 2% for the six months ended June 30, 2022 was driven by growth in the U.S. from the strength of our original content coupled with revenue related to acquisitions completed in the second half of 2021. The prior year revenue benefited from increased player activity and turnover during COVID-19 lockdowns and social restrictions and was adversely impacted by new regulations introduced in certain European countries. Current year periods were negatively impacted by unfavorable impact of foreign-currency translation due to strengthening U.S. Dollar.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4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320" w:type="dxa"/>
            <w:vAlign w:val="bottom"/>
          </w:tcPr>
          <w:p>
            <w:pPr>
              <w:spacing w:after="0"/>
              <w:rPr>
                <w:sz w:val="16"/>
                <w:szCs w:val="16"/>
                <w:color w:val="auto"/>
              </w:rPr>
            </w:pPr>
          </w:p>
        </w:tc>
        <w:tc>
          <w:tcPr>
            <w:tcW w:w="116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20" w:type="dxa"/>
            <w:vAlign w:val="bottom"/>
          </w:tcPr>
          <w:p>
            <w:pPr>
              <w:spacing w:after="0"/>
              <w:rPr>
                <w:sz w:val="16"/>
                <w:szCs w:val="16"/>
                <w:color w:val="auto"/>
              </w:rPr>
            </w:pPr>
          </w:p>
        </w:tc>
        <w:tc>
          <w:tcPr>
            <w:tcW w:w="1160" w:type="dxa"/>
            <w:vAlign w:val="bottom"/>
            <w:gridSpan w:val="2"/>
            <w:vMerge w:val="restart"/>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6"/>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9"/>
              </w:rPr>
              <w:t>2022 vs. 2021</w:t>
            </w: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left="72"/>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amortization and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4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Total cost of revenue for the three and six months ended June 30, 2022 increased as a direct result of higher revenue as described above, driven by $25 million and $56 million, respectively, in higher cost of product revenue primarily associated with higher gaming machine sales.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4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SG&amp;A remained relatively flat for the three months ended June 30, 2022 as compared to the prior year period, as lower stock-based compensation expense was mostly offset by higher user acquisition costs in the SciPlay segment. SG&amp;A increased for the six months ended June 30, 2022 as compared to the prior year period, primarily due to higher salaries and benefits in the Gaming and SciPlay segments as a result of increased employee headcount in order to support operations returning to higher activity levels, coupled with higher SciPlay user acquisition costs, partially offset by lower stock-based compensation expense.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6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increase in R&amp;D for both periods was primarily due to higher salaries and benefits in the Gaming and SciPlay segments as a result of increased employee headcount in order to support operations returning to higher activity levels, coupled with investments supporting ongoing growth.</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D&amp;A was primarily due to approximately $17 million and $33 million for the three and six months ended June 30, 2022, respectively, related to accelerated amortization of certain of our legacy trade names triggered by corporate wide re-branding (see Note 11 in our 2021 10-K for further details), which was partially offset by fully depreciated assets related to prior acquisitions, net of 2021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46"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increase in restructuring and other in both periods was primarily due to higher professional services, legal and other charges related to strategic review including the divestitures (see Note 5). The current year periods also include $12 million related to contingent consideration remeasurement charges (see Note 12).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Affecting Net Income Attributable to L&amp;W</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57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Factors Affecting Net Income (Loss) Attributable to L&amp;W</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98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34"/>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12"/>
              <w:spacing w:after="0" w:line="173"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right"/>
              <w:ind w:right="115"/>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32"/>
              <w:spacing w:after="0" w:line="173"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5760" w:type="dxa"/>
            <w:vAlign w:val="bottom"/>
            <w:tcBorders>
              <w:top w:val="single" w:sz="8" w:color="auto"/>
            </w:tcBorders>
          </w:tcPr>
          <w:p>
            <w:pPr>
              <w:ind w:left="2420"/>
              <w:spacing w:after="0" w:line="173" w:lineRule="exact"/>
              <w:rPr>
                <w:sz w:val="20"/>
                <w:szCs w:val="20"/>
                <w:color w:val="auto"/>
              </w:rPr>
            </w:pPr>
            <w:r>
              <w:rPr>
                <w:rFonts w:ascii="Times New Roman" w:cs="Times New Roman" w:eastAsia="Times New Roman" w:hAnsi="Times New Roman"/>
                <w:sz w:val="16"/>
                <w:szCs w:val="16"/>
                <w:b w:val="1"/>
                <w:bCs w:val="1"/>
                <w:color w:val="auto"/>
              </w:rPr>
              <w:t>2022 vs.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8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   (186)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4"/>
                <w:szCs w:val="14"/>
                <w:color w:val="auto"/>
              </w:rPr>
            </w:pPr>
          </w:p>
        </w:tc>
        <w:tc>
          <w:tcPr>
            <w:tcW w:w="57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The decreases in interest expense for the three and six months ended June 30, 2022</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7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reflect the favorable impact of the April 2022 Refinancing resulting in lower interest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debt financing</w:t>
            </w: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Loss on debt financing transactions consummated during the second quarter of 2022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transactions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includes a $90 million charge associated with premiums paid to redeem $1,250 million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of the 2025 Secured Notes, $1,100 million of the 2026 Unsecured Notes, $353 million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of the 2026 Secured Euro Notes, and $271 million of the 2026 Unsecured Euro Notes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Note 11).</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Gain (loss) on</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ind w:left="340"/>
              <w:spacing w:after="0" w:line="178"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Gains (loss) are attributable to remeasurement of the 2026 Secured Euro Notes and</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remeasurement of debt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2026 Unsecured Euro Notes and reflect changes in the Euro vs. the U.S. Dollar foreign</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other</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exchange rates between the periods. We redeemed our Euro Notes as part of the April</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2022 Refinancing.</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described in Note 1, we completed the divestiture of the Lottery Business on May 19, 2022, and received $5.7 billion in gross cash proceeds.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divestiture, we recorded a pre-tax gain on sale of Lottery Business of $4.6 billion.</w:t>
      </w:r>
    </w:p>
    <w:p>
      <w:pPr>
        <w:spacing w:after="0" w:line="12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Revenue of $51 million and $339 million for the three and six months ended June 30, 2022, respectively, decreased compared to revenue of $299 million and $575 million for the corresponding prior periods, primarily due to lower revenue from the Lottery Business as a result of its sale in the second quarter of 2022, partially offset by higher revenue from the Sports Betting Business due to its continued growth and expansion in the U.S. sports-betting market. The gain on sale of Lottery Business drove the increase in net income from discontinued operations, net of tax, to $3,445 million and $3,540 million for the three and six months ended June 30, 2022, respectively, from $164 million and $243 million for the corresponding prior periods, partially offset by the decrease in revenue and D&amp;A (since no D&amp;A was recorded for assets held for sale in the first half of 2022). Refer to Note 2 for further information on our discontinued operations.</w:t>
      </w:r>
    </w:p>
    <w:p>
      <w:pPr>
        <w:spacing w:after="0" w:line="12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See “Business Segments Results” below for a more detailed explanation of the significant changes in our components of revenue within the individual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5" w:name="page36"/>
    <w:bookmarkEnd w:id="35"/>
    <w:p>
      <w:pPr>
        <w:ind w:right="200"/>
        <w:spacing w:after="0" w:line="417" w:lineRule="auto"/>
        <w:rPr>
          <w:sz w:val="20"/>
          <w:szCs w:val="20"/>
          <w:color w:val="auto"/>
        </w:rPr>
      </w:pPr>
      <w:r>
        <w:rPr>
          <w:rFonts w:ascii="Times New Roman" w:cs="Times New Roman" w:eastAsia="Times New Roman" w:hAnsi="Times New Roman"/>
          <w:sz w:val="18"/>
          <w:szCs w:val="18"/>
          <w:b w:val="1"/>
          <w:bCs w:val="1"/>
          <w:color w:val="auto"/>
        </w:rPr>
        <w:t>BUSINESS SEGMENTS RESULTS (</w:t>
      </w:r>
      <w:r>
        <w:rPr>
          <w:rFonts w:ascii="Times New Roman" w:cs="Times New Roman" w:eastAsia="Times New Roman" w:hAnsi="Times New Roman"/>
          <w:sz w:val="18"/>
          <w:szCs w:val="18"/>
          <w:b w:val="1"/>
          <w:bCs w:val="1"/>
          <w:i w:val="1"/>
          <w:iCs w:val="1"/>
          <w:color w:val="auto"/>
        </w:rPr>
        <w:t>for the three and six months ended June 30, 2022 compared to the three and six months ended June 30, 2021)</w:t>
      </w:r>
      <w:r>
        <w:rPr>
          <w:rFonts w:ascii="Times New Roman" w:cs="Times New Roman" w:eastAsia="Times New Roman" w:hAnsi="Times New Roman"/>
          <w:sz w:val="18"/>
          <w:szCs w:val="18"/>
          <w:b w:val="1"/>
          <w:bCs w:val="1"/>
          <w:color w:val="auto"/>
        </w:rPr>
        <w:t xml:space="preserve"> GAMING</w:t>
      </w: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10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the Gaming primary business activities summary included within “Business Segment Results” under Item 7 of our 2021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continue to see an increase in the demand for our Gaming products and services as the gaming market continues to rebound from the previously lifted COVID-19 restrictions, causing our casino and gaming operations to return to pre-COVID levels. Increase in Gaming revenue was primarily driven by Gaming operations, which continued to exceed 2019 comparative periods due to higher installed base and average daily revenue per unit, coupled with higher gaming machine sales. We continue to experience some supply chain challenges that could impact our ability to meet demand for our products and delay the timing of fulfillment of these orders and consequently the timing of revenue recognition.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3068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1215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1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11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80" w:type="dxa"/>
            <w:vAlign w:val="bottom"/>
          </w:tcPr>
          <w:p>
            <w:pPr>
              <w:spacing w:after="0"/>
              <w:rPr>
                <w:sz w:val="15"/>
                <w:szCs w:val="15"/>
                <w:color w:val="auto"/>
              </w:rPr>
            </w:pPr>
          </w:p>
        </w:tc>
        <w:tc>
          <w:tcPr>
            <w:tcW w:w="760" w:type="dxa"/>
            <w:vAlign w:val="bottom"/>
          </w:tcPr>
          <w:p>
            <w:pPr>
              <w:jc w:val="right"/>
              <w:ind w:right="212"/>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right"/>
              <w:ind w:right="410"/>
              <w:spacing w:after="0" w:line="173" w:lineRule="exact"/>
              <w:rPr>
                <w:sz w:val="20"/>
                <w:szCs w:val="20"/>
                <w:color w:val="auto"/>
              </w:rPr>
            </w:pPr>
            <w:r>
              <w:rPr>
                <w:rFonts w:ascii="Times New Roman" w:cs="Times New Roman" w:eastAsia="Times New Roman" w:hAnsi="Times New Roman"/>
                <w:sz w:val="16"/>
                <w:szCs w:val="16"/>
                <w:b w:val="1"/>
                <w:bCs w:val="1"/>
                <w:color w:val="auto"/>
              </w:rPr>
              <w:t>2022 vs. 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2"/>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3"/>
          </w:tcPr>
          <w:p>
            <w:pPr>
              <w:jc w:val="right"/>
              <w:ind w:right="430"/>
              <w:spacing w:after="0" w:line="173" w:lineRule="exact"/>
              <w:rPr>
                <w:sz w:val="20"/>
                <w:szCs w:val="20"/>
                <w:color w:val="auto"/>
              </w:rPr>
            </w:pPr>
            <w:r>
              <w:rPr>
                <w:rFonts w:ascii="Times New Roman" w:cs="Times New Roman" w:eastAsia="Times New Roman" w:hAnsi="Times New Roman"/>
                <w:sz w:val="16"/>
                <w:szCs w:val="16"/>
                <w:b w:val="1"/>
                <w:bCs w:val="1"/>
                <w:color w:val="auto"/>
              </w:rPr>
              <w:t>2022 vs.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Gaming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Machine sales</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Systems</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Table products</w:t>
            </w: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impact on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Gaming KPIs: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and Canada units: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machine unit sales: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new unit shipments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(1) Excludes the impact of game content licensing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Gaming operations revenue for both current year periods demonstrated strong growth, which exceeded 2019 levels as a result of strong product performance and increased market share. Revenue for the three and six months ended June 30, 2021 included VAT recovery of $38 million and $44 million, respectively, as described in the </w:t>
      </w:r>
      <w:r>
        <w:rPr>
          <w:rFonts w:ascii="Times New Roman" w:cs="Times New Roman" w:eastAsia="Times New Roman" w:hAnsi="Times New Roman"/>
          <w:sz w:val="18"/>
          <w:szCs w:val="18"/>
          <w:i w:val="1"/>
          <w:iCs w:val="1"/>
          <w:color w:val="auto"/>
        </w:rPr>
        <w:t>Consolidated Results – Revenue</w:t>
      </w:r>
      <w:r>
        <w:rPr>
          <w:rFonts w:ascii="Times New Roman" w:cs="Times New Roman" w:eastAsia="Times New Roman" w:hAnsi="Times New Roman"/>
          <w:sz w:val="18"/>
          <w:szCs w:val="18"/>
          <w:color w:val="auto"/>
        </w:rPr>
        <w:t xml:space="preserve"> section above. Gaming operations for U.S. and Canada had an 871-unit increase in installed base, along with increases in average daily revenue per unit of $1.28 and $4.02 for the three and six months ended June 30, 2022, respectively, as we continue to see rebounding in demand since the COVID-19-induced business disruptions. This also impacted the average daily revenue per unit for the International units, which increased by $5.19 and $7.96 for the three and six months ended June 30, 2022, respectively. International ending installed base decreased by 2,446-units primarily due to the closure of certain LBOs in the U.K. along with the reduction of some underperforming units in Latin America and certain low yield operations in Greece.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Gaming machine sales revenue increased primarily due to higher sales of replacement units both in U.S and Canada and internationally along with a higher average sales price per new unit. Additionally,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7" w:name="page38"/>
    <w:bookmarkEnd w:id="37"/>
    <w:p>
      <w:pPr>
        <w:ind w:right="260"/>
        <w:spacing w:after="0" w:line="282" w:lineRule="auto"/>
        <w:rPr>
          <w:sz w:val="20"/>
          <w:szCs w:val="20"/>
          <w:color w:val="auto"/>
        </w:rPr>
      </w:pPr>
      <w:r>
        <w:rPr>
          <w:rFonts w:ascii="Times New Roman" w:cs="Times New Roman" w:eastAsia="Times New Roman" w:hAnsi="Times New Roman"/>
          <w:sz w:val="18"/>
          <w:szCs w:val="18"/>
          <w:color w:val="auto"/>
        </w:rPr>
        <w:t>on the prior year period as described above, resulted in lower unit shipments in the prior year periods. The following table summarizes Gaming machine sales changes: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4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60" w:type="dxa"/>
            <w:vAlign w:val="bottom"/>
            <w:gridSpan w:val="2"/>
            <w:vMerge w:val="restart"/>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5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 shipments: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(40)</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70"/>
        </w:trPr>
        <w:tc>
          <w:tcPr>
            <w:tcW w:w="3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unit shipments: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Replacement units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6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6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right="140" w:firstLine="6"/>
        <w:spacing w:after="0" w:line="261" w:lineRule="auto"/>
        <w:tabs>
          <w:tab w:leader="none" w:pos="2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June 30, 2021 reported amount of 1,751 for International casino opening and expansion units has been reclassified to the International replacement units to correct a misclassification in the prior 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for the three and six months ended June 30, 2022 increased by $46 million and $100 million, respectively, as compared to the corresponding prior year periods, primarily due to (1) $25 million and $56 million, respectively, in higher cost of revenue associated with the increase in revenue as described above, (2) $9 million and $17 million, respectively, in higher D&amp;A primarily driven by accelerated amortization of legacy trade names, which were partially offset by fully depreciated assets related to prior acquisitions, and (3) $13 million and $27 million, respectively, in higher SG&amp;A and R&amp;D costs.</w:t>
      </w:r>
    </w:p>
    <w:p>
      <w:pPr>
        <w:spacing w:after="0" w:line="10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June 30, 2022 as compared to the prior year period, AEBITDA and AEBITDA as a percentage of revenue (“AEBITDA margin”) decreased by $15 million and 7 percentage points to $179 million and 46%, respectively, as the prior year period benefited from $38 million revenue due to the VAT recovery as described in the </w:t>
      </w:r>
      <w:r>
        <w:rPr>
          <w:rFonts w:ascii="Times New Roman" w:cs="Times New Roman" w:eastAsia="Times New Roman" w:hAnsi="Times New Roman"/>
          <w:sz w:val="18"/>
          <w:szCs w:val="18"/>
          <w:i w:val="1"/>
          <w:iCs w:val="1"/>
          <w:color w:val="auto"/>
        </w:rPr>
        <w:t>Consolidated Results – Revenue</w:t>
      </w:r>
      <w:r>
        <w:rPr>
          <w:rFonts w:ascii="Times New Roman" w:cs="Times New Roman" w:eastAsia="Times New Roman" w:hAnsi="Times New Roman"/>
          <w:sz w:val="18"/>
          <w:szCs w:val="18"/>
          <w:color w:val="auto"/>
        </w:rPr>
        <w:t xml:space="preserve"> section above.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2022, AEBITDA increased by $49 million to $350 million as compared to the prior year period, and AEBITDA margin decreased 2 percentage points to 47% for the same comparative periods. These results were driven by strong growth in gaming operations, gaming machine sales, systems and table games businesses and were partially offset by the increased costs in the current year period and benefit of $44 million revenue related to the VAT recovery in the prior year period as described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48"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mobile and web platforms. SciPlay operates in the social gaming market, which is characterized by gameplay online, on mobile phones or on tablets, that are social and competitive, and self-directed in pace and session length; as well as the hyper-casual space, which is characterized by simpler core loops and more repetitive gameplay than casual games. SciPlay generates a substantial portion of its revenue from in-app purchases in the form of coins, chips and cards, which players can use to play slot games, table games or bingo games. SciPlay also generates additional revenue, in the hyper-casual space, from the receipt of advertising revenue.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Players who install SciPlay’s hyper-casual games receive free, unlimited gameplay that requires viewing of periodic in-game advertisements.</w:t>
      </w:r>
    </w:p>
    <w:p>
      <w:pPr>
        <w:spacing w:after="0" w:line="121"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Gold Fish</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Quick Hit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8"/>
          <w:szCs w:val="18"/>
          <w:i w:val="1"/>
          <w:iCs w:val="1"/>
          <w:color w:val="auto"/>
        </w:rPr>
        <w:t>lots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88 Fortunes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Slots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Our SciPlay business segment continues to pursue its strategy of expanding into the casual games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casual game titles 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Solitaire Pets™ Adventure,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as well as many titles in the hyper-casual space through our recent acquisition of Alictus,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t xml:space="preserve">including games such as </w:t>
      </w:r>
      <w:r>
        <w:rPr>
          <w:rFonts w:ascii="Times New Roman" w:cs="Times New Roman" w:eastAsia="Times New Roman" w:hAnsi="Times New Roman"/>
          <w:sz w:val="18"/>
          <w:szCs w:val="18"/>
          <w:i w:val="1"/>
          <w:iCs w:val="1"/>
          <w:color w:val="auto"/>
        </w:rPr>
        <w:t>Candy Challenge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Boss Life™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Deep Clean Inc. 3D™</w:t>
      </w:r>
      <w:r>
        <w:rPr>
          <w:rFonts w:ascii="Times New Roman" w:cs="Times New Roman" w:eastAsia="Times New Roman" w:hAnsi="Times New Roman"/>
          <w:sz w:val="18"/>
          <w:szCs w:val="18"/>
          <w:color w:val="auto"/>
        </w:rPr>
        <w:t xml:space="preserve">. SciPlay currently plans to launch an additional casual game and a number of hyper-casual games in 2022.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 w:cs="Times New Roman" w:eastAsia="Times New Roman" w:hAnsi="Times New Roman"/>
          <w:sz w:val="18"/>
          <w:szCs w:val="18"/>
          <w:i w:val="1"/>
          <w:iCs w:val="1"/>
          <w:color w:val="auto"/>
        </w:rPr>
        <w:t>Apple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Google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xml:space="preserve">. In addition to SciPlay’s internally created game content, SciPlay’s content library includes recognizable game content from Light &amp; Wonder. This content allows players 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Times New Roman" w:cs="Times New Roman" w:eastAsia="Times New Roman" w:hAnsi="Times New Roman"/>
          <w:sz w:val="18"/>
          <w:szCs w:val="18"/>
          <w:i w:val="1"/>
          <w:iCs w:val="1"/>
          <w:color w:val="auto"/>
        </w:rPr>
        <w:t>MONOPOLY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FLINTSTONES™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JAMES BOND™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PLAYBOY™</w:t>
      </w:r>
      <w:r>
        <w:rPr>
          <w:rFonts w:ascii="Times New Roman" w:cs="Times New Roman" w:eastAsia="Times New Roman" w:hAnsi="Times New Roman"/>
          <w:sz w:val="18"/>
          <w:szCs w:val="18"/>
          <w:color w:val="auto"/>
        </w:rPr>
        <w:t>. SciPlay’s access to this content, coupled with its years of experience developing in-house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uniquely positions SciPlay to create compelling digital games.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March 1, 2022, SciPlay acquired Alictus, a Turkey-based hyper-casual game studio, which expanded SciPlay’s business in the casual gaming market, grew its game pipeline and diversified its revenue streams as SciPlay advances its strategy to be a diversified global game developer.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2040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1215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16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20" w:type="dxa"/>
            <w:vAlign w:val="bottom"/>
          </w:tcPr>
          <w:p>
            <w:pPr>
              <w:spacing w:after="0"/>
              <w:rPr>
                <w:sz w:val="16"/>
                <w:szCs w:val="16"/>
                <w:color w:val="auto"/>
              </w:rPr>
            </w:pPr>
          </w:p>
        </w:tc>
        <w:tc>
          <w:tcPr>
            <w:tcW w:w="116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40" w:type="dxa"/>
            <w:vAlign w:val="bottom"/>
          </w:tcPr>
          <w:p>
            <w:pPr>
              <w:spacing w:after="0"/>
              <w:rPr>
                <w:sz w:val="15"/>
                <w:szCs w:val="15"/>
                <w:color w:val="auto"/>
              </w:rPr>
            </w:pPr>
          </w:p>
        </w:tc>
        <w:tc>
          <w:tcPr>
            <w:tcW w:w="80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271"/>
              <w:spacing w:after="0" w:line="173"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left="92"/>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2022 vs. 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2"/>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71"/>
              <w:spacing w:after="0" w:line="173"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left="112"/>
              <w:spacing w:after="0" w:line="173" w:lineRule="exact"/>
              <w:rPr>
                <w:sz w:val="20"/>
                <w:szCs w:val="20"/>
                <w:color w:val="auto"/>
              </w:rPr>
            </w:pPr>
            <w:r>
              <w:rPr>
                <w:rFonts w:ascii="Times New Roman" w:cs="Times New Roman" w:eastAsia="Times New Roman" w:hAnsi="Times New Roman"/>
                <w:sz w:val="16"/>
                <w:szCs w:val="16"/>
                <w:b w:val="1"/>
                <w:bCs w:val="1"/>
                <w:color w:val="auto"/>
              </w:rPr>
              <w:t>2022 vs. 2021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Mobile in-app purchases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840" w:type="dxa"/>
            <w:vAlign w:val="bottom"/>
            <w:gridSpan w:val="3"/>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Web in-app purchases and other</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SciPlay KPIs: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In-App Purchases: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3"/>
          </w:tcPr>
          <w:p>
            <w:pPr>
              <w:ind w:left="160"/>
              <w:spacing w:after="0" w:line="230" w:lineRule="exact"/>
              <w:rPr>
                <w:sz w:val="20"/>
                <w:szCs w:val="20"/>
                <w:color w:val="auto"/>
              </w:rPr>
            </w:pPr>
            <w:r>
              <w:rPr>
                <w:rFonts w:ascii="Times New Roman" w:cs="Times New Roman" w:eastAsia="Times New Roman" w:hAnsi="Times New Roman"/>
                <w:sz w:val="18"/>
                <w:szCs w:val="18"/>
                <w:color w:val="auto"/>
              </w:rPr>
              <w:t>Mobile Penetration</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 pp</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 pp</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Average MAU</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3"/>
          </w:tcPr>
          <w:p>
            <w:pPr>
              <w:ind w:left="16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3"/>
          </w:tcPr>
          <w:p>
            <w:pPr>
              <w:ind w:left="160"/>
              <w:spacing w:after="0" w:line="230" w:lineRule="exact"/>
              <w:rPr>
                <w:sz w:val="20"/>
                <w:szCs w:val="20"/>
                <w:color w:val="auto"/>
              </w:rPr>
            </w:pPr>
            <w:r>
              <w:rPr>
                <w:rFonts w:ascii="Times New Roman" w:cs="Times New Roman" w:eastAsia="Times New Roman" w:hAnsi="Times New Roman"/>
                <w:sz w:val="18"/>
                <w:szCs w:val="18"/>
                <w:color w:val="auto"/>
              </w:rPr>
              <w:t>Average MPU</w:t>
            </w:r>
            <w:r>
              <w:rPr>
                <w:rFonts w:ascii="Times New Roman" w:cs="Times New Roman" w:eastAsia="Times New Roman" w:hAnsi="Times New Roman"/>
                <w:sz w:val="23"/>
                <w:szCs w:val="23"/>
                <w:color w:val="auto"/>
                <w:vertAlign w:val="superscript"/>
              </w:rPr>
              <w:t>(6)</w:t>
            </w:r>
          </w:p>
        </w:tc>
        <w:tc>
          <w:tcPr>
            <w:tcW w:w="2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94.55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gridSpan w:val="3"/>
          </w:tcPr>
          <w:p>
            <w:pPr>
              <w:ind w:left="160"/>
              <w:spacing w:after="0" w:line="236"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(8)</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0.9 pp</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0.9 pp</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ind w:left="20"/>
        <w:spacing w:after="0" w:line="221" w:lineRule="auto"/>
        <w:rPr>
          <w:sz w:val="20"/>
          <w:szCs w:val="20"/>
          <w:color w:val="auto"/>
        </w:rPr>
      </w:pPr>
      <w:r>
        <w:rPr>
          <w:rFonts w:ascii="Times New Roman" w:cs="Times New Roman" w:eastAsia="Times New Roman" w:hAnsi="Times New Roman"/>
          <w:sz w:val="14"/>
          <w:szCs w:val="14"/>
          <w:color w:val="auto"/>
        </w:rPr>
        <w:t>nm = not meaningful.</w:t>
      </w:r>
    </w:p>
    <w:p>
      <w:pPr>
        <w:ind w:left="20"/>
        <w:spacing w:after="0" w:line="221" w:lineRule="auto"/>
        <w:rPr>
          <w:sz w:val="20"/>
          <w:szCs w:val="20"/>
          <w:color w:val="auto"/>
        </w:rPr>
      </w:pPr>
      <w:r>
        <w:rPr>
          <w:rFonts w:ascii="Times New Roman" w:cs="Times New Roman" w:eastAsia="Times New Roman" w:hAnsi="Times New Roman"/>
          <w:sz w:val="14"/>
          <w:szCs w:val="14"/>
          <w:color w:val="auto"/>
        </w:rPr>
        <w:t>pp = percentage points.</w:t>
      </w:r>
    </w:p>
    <w:p>
      <w:pPr>
        <w:spacing w:after="0" w:line="1" w:lineRule="exact"/>
        <w:rPr>
          <w:sz w:val="20"/>
          <w:szCs w:val="20"/>
          <w:color w:val="auto"/>
        </w:rPr>
      </w:pPr>
    </w:p>
    <w:p>
      <w:pPr>
        <w:ind w:left="20" w:right="100" w:firstLine="6"/>
        <w:spacing w:after="0" w:line="211" w:lineRule="auto"/>
        <w:tabs>
          <w:tab w:leader="none" w:pos="2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revenue generated from providing advertising platforms with access to SciPlay’s game software platform, which facilitates the placement of advertising inventory, which was not material in the periods presented.</w:t>
      </w:r>
    </w:p>
    <w:p>
      <w:pPr>
        <w:ind w:left="220" w:hanging="194"/>
        <w:spacing w:after="0" w:line="221" w:lineRule="auto"/>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Mobile penetration is defined as the percentage of business to consumer SciPlay revenue generated from mobile platforms.</w:t>
      </w:r>
    </w:p>
    <w:p>
      <w:pPr>
        <w:ind w:left="20" w:right="160" w:firstLine="6"/>
        <w:spacing w:after="0" w:line="211" w:lineRule="auto"/>
        <w:tabs>
          <w:tab w:leader="none" w:pos="2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20" w:right="200" w:firstLine="6"/>
        <w:spacing w:after="0" w:line="211" w:lineRule="auto"/>
        <w:tabs>
          <w:tab w:leader="none" w:pos="2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20" w:hanging="194"/>
        <w:spacing w:after="0" w:line="221" w:lineRule="auto"/>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20" w:hanging="194"/>
        <w:spacing w:after="0" w:line="221" w:lineRule="auto"/>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20" w:hanging="194"/>
        <w:spacing w:after="0" w:line="201" w:lineRule="auto"/>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16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Total revenues for the three months ended June 30, 2022 increased as compared to the prior year period primarily as a result of higher advertising revenue following the Alictus acquisition, while the core social casino games’ revenue slightly decreased for the same period. For the six months ended June 30, 2022, revenues increased as compared to the prior year period as a result of an increase in average monthly paying users due to a higher payer conversion rate during the period, coupled with a $10 million increase in advertising revenue following the Alictus acquisition.</w:t>
      </w:r>
    </w:p>
    <w:p>
      <w:pPr>
        <w:spacing w:after="0" w:line="9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increase in mobile penetration percentage for the three and six months ended June 30, 2022 as compared to the prior year periods primarily reflects a continued trend of players migrating from web to mobile platforms to play SciPlay’s games.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MAU for the three and six months ended June 30, 2022 decreased as compared to the prior year periods due to the turnover in users.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ARPDAU increased as a function of lower average DAU for periods presented.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DAU was flat for the three months ended June 30, 2022 and decreased for the six months ended June 30, 2022 due to the turnover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w:t>
      </w:r>
    </w:p>
    <w:p>
      <w:pPr>
        <w:spacing w:after="0" w:line="12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AMRPPU decreased as compared to the prior year periods while average MPU increased as payer conversion improved compared to the three and six months ended June 30, 2021. Payer conversion and AMRPPU continues to be higher than pre-COVID periods.</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Payer conversion rates are at an all-time high due to consistent payer interaction with the games by players as a result of the introduction of new content and features into SciPlay’s games.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4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increase in operating expenses for the three and six months ended June 30, 2022 as compared to the prior year periods is primarily correlated with the increase in revenue (as described above) as a result of higher platform fees, higher user acquisition spend of $12 million and $16 million, respectively, and higher salaries and benefits related to an increase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0" w:name="page41"/>
    <w:bookmarkEnd w:id="40"/>
    <w:p>
      <w:pPr>
        <w:ind w:right="140"/>
        <w:spacing w:after="0" w:line="282" w:lineRule="auto"/>
        <w:rPr>
          <w:sz w:val="20"/>
          <w:szCs w:val="20"/>
          <w:color w:val="auto"/>
        </w:rPr>
      </w:pPr>
      <w:r>
        <w:rPr>
          <w:rFonts w:ascii="Times New Roman" w:cs="Times New Roman" w:eastAsia="Times New Roman" w:hAnsi="Times New Roman"/>
          <w:sz w:val="18"/>
          <w:szCs w:val="18"/>
          <w:color w:val="auto"/>
        </w:rPr>
        <w:t>headcount, coupled with an increase in D&amp;A due to additional amortization associated with intangible assets acquired in conjunction with the Alictus and Koukoi acquisitions.</w:t>
      </w:r>
    </w:p>
    <w:p>
      <w:pPr>
        <w:spacing w:after="0" w:line="8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AEBITDA for the three and six months ended June 30, 2022 decreased as compared to the prior year periods primarily due to higher operating expenses primarily related to user acquisition spend and personnel costs, partially offset by an increase in revenue as described above. As a result, AEBITDA margin for the three- and six-month periods decreased by 5 and 4 percentage points,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iGAMING</w:t>
      </w:r>
    </w:p>
    <w:p>
      <w:pPr>
        <w:spacing w:after="0" w:line="162"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Our iGaming business segment provides a comprehensive suite of digital online gaming content, including digital RMG, distribution platforms, content, products and services. We derive revenue from our content aggregation platforms, including Open Gaming System, remote gaming servers, and various other platforms, which can deliver a wide spectrum of internally developed and branded casino-style games and popular third-party provider casino-style games to gaming operators. We also provide the Open Platform System which offers a wide range of reporting and administrative functions and tools providing operators full control over all areas of digital gaming operations. Generally, we host the play of our game content on our centrally located servers that are integrated with the online casino operators’ websites.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U.S. and other emerging markets by leveraging our industry leading platforms, content and solutions. In April 2022, we went live with 8 operators on day 1 in Ontario in conjunction with the Canadian province regulating into a private licensed market.</w:t>
      </w:r>
    </w:p>
    <w:p>
      <w:pPr>
        <w:spacing w:after="0" w:line="10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Also, in April 2022, we also acquired Playzido, a dynamic content creation platform provider and game supplier, which is expected to accelerate the pace at which we can partner with game studios and operators to expand our iGaming content offering.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2031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1215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Revenue remained in line for the three months ended June 30, 2022 as compared to the prior year period, and the increase in revenue of 2% for the six months ended June 30, 2022 as compared to the prior year period was due to continuing momentum in the U.S. market coupled with continued strong performance of businesses that we acquired in the second half of 2021. The three- and six-month periods were impacted by unfavorable impact of foreign currency translation of $4 million and $6 million, respectively, due to strengthening U.S. Dollar. The U.S. market delivered 47% and 56% year-over-year revenue growth for the three and six months ended June 30, 2022, respectively, driven by the strength of our original content. Wagers processed through our Open Gaming System for both current year periods remained flat at $18 million and $35 million, respectively, as compared to the prior year periods. AEBITDA remained relatively in line with the prior year periods due to continued investments supporting ongoing growth including our upcoming launch of live casino in the 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recently issued accounting guidance will have a significant effect on our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Estimates” in Item 7 “Management’s Discussion and Analysis of Financial Condition and Results of Operations” included in our 2021 10-K.</w:t>
      </w:r>
    </w:p>
    <w:p>
      <w:pPr>
        <w:spacing w:after="0" w:line="94" w:lineRule="exact"/>
        <w:rPr>
          <w:sz w:val="20"/>
          <w:szCs w:val="20"/>
          <w:color w:val="auto"/>
        </w:rPr>
      </w:pPr>
    </w:p>
    <w:p>
      <w:pPr>
        <w:jc w:val="both"/>
        <w:ind w:right="84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estimate policies or the application of those policies to our condensed consolidated financial statements from those presented in Item 7 “Management's Discussion and Analysis of Financial Condition and Results of Operations” included in our 2021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our principal sources of liquidity, other than cash flows provided by operating activities, were cash and cash equivalents, including SciPlay cash and cash equivalents (for our SciPlay business segment), cash and cash equivalents within assets held for sale and amounts available under the SciPlay Revolver (for our SciPlay business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Cash and Available Revolver Capacity</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Revolver</w:t>
            </w:r>
          </w:p>
        </w:tc>
        <w:tc>
          <w:tcPr>
            <w:tcW w:w="160" w:type="dxa"/>
            <w:vAlign w:val="bottom"/>
          </w:tcPr>
          <w:p>
            <w:pPr>
              <w:spacing w:after="0"/>
              <w:rPr>
                <w:sz w:val="24"/>
                <w:szCs w:val="24"/>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Revolver capacity</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92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drawn or committed to</w:t>
            </w:r>
          </w:p>
        </w:tc>
        <w:tc>
          <w:tcPr>
            <w:tcW w:w="300" w:type="dxa"/>
            <w:vAlign w:val="bottom"/>
          </w:tcPr>
          <w:p>
            <w:pPr>
              <w:spacing w:after="0"/>
              <w:rPr>
                <w:sz w:val="16"/>
                <w:szCs w:val="16"/>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equivalents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capacity</w:t>
            </w:r>
          </w:p>
        </w:tc>
        <w:tc>
          <w:tcPr>
            <w:tcW w:w="160" w:type="dxa"/>
            <w:vAlign w:val="bottom"/>
          </w:tcPr>
          <w:p>
            <w:pPr>
              <w:spacing w:after="0"/>
              <w:rPr>
                <w:sz w:val="16"/>
                <w:szCs w:val="16"/>
                <w:color w:val="auto"/>
              </w:rPr>
            </w:pPr>
          </w:p>
        </w:tc>
        <w:tc>
          <w:tcPr>
            <w:tcW w:w="17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L&amp;W (excluding SciPlay and assets held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SciPlay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 of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L&amp;W (excluding SciPlay and assets held for sale)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SciPlay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 of December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68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(including discontinued operations) was $152 million and $180 million as of June 30, 2022 and December 31, 2021, respectively. We believe that substantially all cash held outside the U.S. is free from legal encumbrances or similar restrictions that would prevent it from being available to meet our global liquidity needs.</w:t>
      </w:r>
    </w:p>
    <w:p>
      <w:pPr>
        <w:spacing w:after="0" w:line="108" w:lineRule="exact"/>
        <w:rPr>
          <w:sz w:val="20"/>
          <w:szCs w:val="20"/>
          <w:color w:val="auto"/>
        </w:rPr>
      </w:pPr>
    </w:p>
    <w:p>
      <w:pPr>
        <w:ind w:right="20" w:firstLine="688"/>
        <w:spacing w:after="0" w:line="256" w:lineRule="auto"/>
        <w:rPr>
          <w:sz w:val="20"/>
          <w:szCs w:val="20"/>
          <w:color w:val="auto"/>
        </w:rPr>
      </w:pPr>
      <w:r>
        <w:rPr>
          <w:rFonts w:ascii="Times New Roman" w:cs="Times New Roman" w:eastAsia="Times New Roman" w:hAnsi="Times New Roman"/>
          <w:sz w:val="18"/>
          <w:szCs w:val="18"/>
          <w:color w:val="auto"/>
        </w:rPr>
        <w:t>Our Gaming operations generally require significant upfront capital expenditures, and we may need to incur additional capital expenditures in order to retain or increase market share and units footprint. Our ability to make payments on and to refinance our indebtedness and other obligations depends on our ability to generate cash in the future. We may also, from time to time, repurchase or otherwise retire or refinance our debt, through our subsidiaries or otherwise. In the event we pursue significant acquisitions or other expansion opportunities,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Part I, Item 1A in our 2021 10-K.</w:t>
      </w:r>
    </w:p>
    <w:p>
      <w:pPr>
        <w:spacing w:after="0" w:line="12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we are authorized to repurchase, from time to time through February 25, 2025, up to an aggregate amount of $750 million of our outstanding common stock over a three-year period. During the six months ended June 30, 2022, we repurchased 3.7 million shares of common stock under the program at an aggregate cost of $203 million.</w:t>
      </w:r>
    </w:p>
    <w:p>
      <w:pPr>
        <w:spacing w:after="0" w:line="95" w:lineRule="exact"/>
        <w:rPr>
          <w:sz w:val="20"/>
          <w:szCs w:val="20"/>
          <w:color w:val="auto"/>
        </w:rPr>
      </w:pPr>
    </w:p>
    <w:p>
      <w:pPr>
        <w:ind w:right="80" w:firstLine="688"/>
        <w:spacing w:after="0" w:line="266" w:lineRule="auto"/>
        <w:rPr>
          <w:sz w:val="20"/>
          <w:szCs w:val="20"/>
          <w:color w:val="auto"/>
        </w:rPr>
      </w:pPr>
      <w:r>
        <w:rPr>
          <w:rFonts w:ascii="Times New Roman" w:cs="Times New Roman" w:eastAsia="Times New Roman" w:hAnsi="Times New Roman"/>
          <w:sz w:val="18"/>
          <w:szCs w:val="18"/>
          <w:color w:val="auto"/>
        </w:rPr>
        <w:t>On May 9, 2022, SciPlay Board of Directors approved a share repurchase program under which SciPlay is authorized to repurchase, from time to time through May 9, 2024, up to an aggregate amount of $60 million of SciPlay’s outstanding Class A common stock over a two-year period. During the six months ended June 30, 2022, SciPlay repurchased 0.5 million shares of Class A common stock under the program at an aggregate cost of $7 million.</w:t>
      </w:r>
    </w:p>
    <w:p>
      <w:pPr>
        <w:spacing w:after="0" w:line="10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divestiture of the Lottery Business is estimated to generate approximately $665 million of net cash taxes, after considering the utilization of tax attributes. The net cash taxes are expected to be paid approximately 75% in mid September 2022 and 25% in mid December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April 2022 Refinancing</w:t>
      </w:r>
    </w:p>
    <w:p>
      <w:pPr>
        <w:spacing w:after="0" w:line="14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14, 2022, we completed a series of refinancing transactions, which, combined with the principal payments on the SGI Term Loan B-5 and SGI Revolver in April, reduced the outstanding face value of our debt by $4,957 million, from $8,910 million as of March 31, 2022 to $3,953 million immediately after the completion of these transactions (see Note 11 for additional details).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6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4"/>
                <w:szCs w:val="14"/>
                <w:color w:val="auto"/>
              </w:rPr>
            </w:pP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2022 vs.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from:</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0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 from:</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 from:</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78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2022 vs.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 Income from discontinued operations, net of tax</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provided by</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deferred income taxes and other</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(after adjustments to reconcile net loss from continuing operations to net cash provided by operating activities from continuing operations and changes in deferred income taxes and other) decreased primarily due to an $145 million unfavorable change in working capital accounts, which was offset by a $48 million increase in earnings (drivers described above).</w:t>
      </w:r>
    </w:p>
    <w:p>
      <w:pPr>
        <w:spacing w:after="0" w:line="10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 from continuing operations, for the six months ended June 30, 2022 were primarily driven by the timing of disbursements including costs associated with the strategic review, accelerated cash interest payments associated with the April 2022 Refinancing debt transactions, higher incentive compensation payout, and higher inventory purchases in order to limit supply chain impacts and support future sale levels.</w:t>
      </w:r>
    </w:p>
    <w:p>
      <w:pPr>
        <w:spacing w:after="0" w:line="112"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discontinued operations decreased primarily due to lower earnings as the current year period included only a partial period for Lottery Business that was sold during the second quarter of 2022 coupled with approximately $80 million in direct transaction costs associated with closing of the Lottery Business transaction.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increased primarily due to acquisitions during the first half of 2022 and higher capital expenditures. Capital expenditures are composed of investments in systems, equipment and</w:t>
      </w:r>
    </w:p>
    <w:p>
      <w:pPr>
        <w:sectPr>
          <w:pgSz w:w="11900" w:h="16838" w:orient="portrait"/>
          <w:cols w:equalWidth="0" w:num="1">
            <w:col w:w="11240"/>
          </w:cols>
          <w:pgMar w:left="320" w:top="10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43" w:name="page44"/>
    <w:bookmarkEnd w:id="43"/>
    <w:p>
      <w:pPr>
        <w:ind w:right="180"/>
        <w:spacing w:after="0" w:line="282" w:lineRule="auto"/>
        <w:rPr>
          <w:sz w:val="20"/>
          <w:szCs w:val="20"/>
          <w:color w:val="auto"/>
        </w:rPr>
      </w:pPr>
      <w:r>
        <w:rPr>
          <w:rFonts w:ascii="Times New Roman" w:cs="Times New Roman" w:eastAsia="Times New Roman" w:hAnsi="Times New Roman"/>
          <w:sz w:val="18"/>
          <w:szCs w:val="18"/>
          <w:color w:val="auto"/>
        </w:rPr>
        <w:t>other assets related to contracts, property and equipment, intangible assets and software. The increase in net cash used in investing activities was partially offset by the settlement of our cross-currency interest rate swaps, in which we received approximately $50 million in cash proceeds.</w:t>
      </w:r>
    </w:p>
    <w:p>
      <w:pPr>
        <w:spacing w:after="0" w:line="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from discontinued operations increased primarily as a result of the receipt of $5,659 million in gross cash proceeds from the sale of the Lottery Business, net of cash, cash equivalents and restricted cash transferred, during the second quarter of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by financing activities increased primarily due to the April 2022 Refinancing debt transactions, in which we repaid $6,984 million in senior notes (including redemption premium) and outstanding borrowings under the SGI Term Loan B-5 and received $2,200 million in proceeds from the issuance of the SGI Term Loan B. Additionally, the increase was due to purchases of treasury stock and SciPlay’s common stock, under their respective repurchase programs described above, as well as taxes paid related to net share settlement of equity awards. During the six months ended June 30, 2022, we purchased $203 million of our common stock and $7 million of SciPlay’s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14, 2022, we completed a series of refinancing transactions, which, combined with the principal payments on the SGI Term Loan B-5 and SGI Revolver in April, reduced the outstanding face value of our debt by $4,957 million, from $8,910 million as of March 31, 2022 to $3,953 million immediately after the completion of these transactions (see Note 11).</w:t>
      </w:r>
    </w:p>
    <w:p>
      <w:pPr>
        <w:spacing w:after="0" w:line="10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credit agreement and other debt, interest rate risk and interest rate hedging instruments, see Notes 15 and 16 and Item 7A “Quantitative and Qualitative Disclosures About Market Risk” in our 2021 10-K as well as Notes 11 and 12 and Item 3 below in this form 10-Q.</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2022, we did not have any significant off-balance sheet arrangements.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4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disclosed under Item 7 “Management’s Discussion and Analysis of Financial Condition and Results of Operations — Liquidity, Capital Resources and Working Capital — Contractual Obligations” in our 2021 10-K, other than those related to the Alictus acquisition described in Note 1 and the debt pay down and refinancing transactions described in Note 11.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are our primary exposures to market risks: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face value of long-term debt was $3,953 million, including $2,200 million of variable-rate obligations. Assuming a constant outstanding balance for our variable-rate long term debt, a hypothetical 1% change in interest rates would decrease/increase interest expense by approximately $22 million. All of our interest rate sensitive financial instruments are held for other than trading purposes.</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new interest rate swap contracts with $700 million notional amount to hedge a portion of our interest expense associated with our variable rate debt to effectively fix the interest rate that we will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Interest Rate Swaps</w:t>
      </w:r>
    </w:p>
    <w:p>
      <w:pPr>
        <w:spacing w:after="0" w:line="1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2018, we entered into certain cross-currency interest rate swap agreements to achieve more attractive interest rates by effectively converting $460 million of our fixed-rate U.S. Dollar-denominated 2025 Secured Notes, including the semi-annual interest payments through October 2023, to a fixed-rate Euro-denominated debt, with a fixed annual weighted average interest rate of approximately 2.946%. We have designated these cross-currency interest rate swap agreements as a net investment hedge of our investments in certain of our international subsidiaries that use the Euro as their functional currency in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order to reduce the volatility in our operating results caused by the changes in foreign currency exchange rates of the Euro with respect to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w:t>
      </w:r>
    </w:p>
    <w:p>
      <w:pPr>
        <w:spacing w:after="0" w:line="13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April of 2022 and as a result of the April 2022 Refinancing, we settled our cross-currency interest rate swaps and received approximately $50 million in cash proceeds.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Non-Derivative Hedge - 2026 Secured Euro Notes</w:t>
      </w:r>
    </w:p>
    <w:p>
      <w:pPr>
        <w:spacing w:after="0" w:line="16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April 2022 Refinancing described above, we redeemed all of 2026 Secured Euro Notes and no longer have designated net investment hedge.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interest rate swap contracts, cross-currency interest rate swaps and net investment non-derivative hedges, 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June 30, 2022.</w:t>
      </w:r>
    </w:p>
    <w:p>
      <w:pPr>
        <w:spacing w:after="0" w:line="11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2022 that have materially affected, or are reasonably likely to materially affect, our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description of our legal proceedings, see Note 16 in this Quarterly Report on Form 10-Q and Note 20 in our 2021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under Item 1A “Risk Factors” included in our 2021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repurchased 2.8 million shares under the share repurchase program during the three months ended June 30, 2022.</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jc w:val="center"/>
              <w:ind w:left="279"/>
              <w:spacing w:after="0" w:line="161"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ind w:left="279"/>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80" w:type="dxa"/>
            <w:vAlign w:val="bottom"/>
          </w:tcPr>
          <w:p>
            <w:pPr>
              <w:jc w:val="center"/>
              <w:ind w:left="299"/>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Total Cost of Repurchase</w:t>
            </w:r>
          </w:p>
        </w:tc>
        <w:tc>
          <w:tcPr>
            <w:tcW w:w="80" w:type="dxa"/>
            <w:vAlign w:val="bottom"/>
          </w:tcPr>
          <w:p>
            <w:pPr>
              <w:spacing w:after="0"/>
              <w:rPr>
                <w:sz w:val="14"/>
                <w:szCs w:val="14"/>
                <w:color w:val="auto"/>
              </w:rPr>
            </w:pPr>
          </w:p>
        </w:tc>
        <w:tc>
          <w:tcPr>
            <w:tcW w:w="2560" w:type="dxa"/>
            <w:vAlign w:val="bottom"/>
            <w:gridSpan w:val="2"/>
          </w:tcPr>
          <w:p>
            <w:pPr>
              <w:jc w:val="right"/>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that May Yet Be Purchased Under</w:t>
            </w:r>
          </w:p>
        </w:tc>
        <w:tc>
          <w:tcPr>
            <w:tcW w:w="0" w:type="dxa"/>
            <w:vAlign w:val="bottom"/>
          </w:tcPr>
          <w:p>
            <w:pPr>
              <w:spacing w:after="0"/>
              <w:rPr>
                <w:sz w:val="1"/>
                <w:szCs w:val="1"/>
                <w:color w:val="auto"/>
              </w:rPr>
            </w:pPr>
          </w:p>
        </w:tc>
      </w:tr>
      <w:tr>
        <w:trPr>
          <w:trHeight w:val="214"/>
        </w:trPr>
        <w:tc>
          <w:tcPr>
            <w:tcW w:w="2300" w:type="dxa"/>
            <w:vAlign w:val="bottom"/>
            <w:gridSpan w:val="2"/>
            <w:vMerge w:val="continue"/>
          </w:tcPr>
          <w:p>
            <w:pPr>
              <w:spacing w:after="0"/>
              <w:rPr>
                <w:sz w:val="18"/>
                <w:szCs w:val="18"/>
                <w:color w:val="auto"/>
              </w:rPr>
            </w:pPr>
          </w:p>
        </w:tc>
        <w:tc>
          <w:tcPr>
            <w:tcW w:w="218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Program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the Program</w:t>
            </w:r>
          </w:p>
        </w:tc>
        <w:tc>
          <w:tcPr>
            <w:tcW w:w="0" w:type="dxa"/>
            <w:vAlign w:val="bottom"/>
          </w:tcPr>
          <w:p>
            <w:pPr>
              <w:spacing w:after="0"/>
              <w:rPr>
                <w:sz w:val="1"/>
                <w:szCs w:val="1"/>
                <w:color w:val="auto"/>
              </w:rPr>
            </w:pPr>
          </w:p>
        </w:tc>
      </w:tr>
      <w:tr>
        <w:trPr>
          <w:trHeight w:val="225"/>
        </w:trPr>
        <w:tc>
          <w:tcPr>
            <w:tcW w:w="2200" w:type="dxa"/>
            <w:vAlign w:val="bottom"/>
            <w:tcBorders>
              <w:top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4/1/2022 - 4/30/2022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22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w w:val="99"/>
              </w:rPr>
              <w:t>5/1/2022 - 5/31/2022</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6/1/2022 - 6/30/2022</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below is included herein for purposes of providing the disclosure required under “Item 5.03 - Amendments to Articles of Incorporation or Bylaws; Change in Fiscal Year” of Form 8-K.</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On August 5, 2022, following the approval of the Board, the Company filed Restated Articles of Incorporation and an Amended and Restated Certificate of Designation designating the Company’s Series A Junior Participating Preferred Stock with the Nevada Secretary of State, the Restated Articles for the purpose of having one document on file with the Nevada Secretary of State which constitutes the articles of incorporation of Light &amp; Wonder, Inc. and all amendments thereto, and the Amended and Restated Certificate of Designation to reflect the change of the Company’s name from Scientific Games Corporation to Light &amp; Wonder,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gridSpan w:val="2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3.1(a)</w:t>
            </w: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10140" w:type="dxa"/>
            <w:vAlign w:val="bottom"/>
            <w:tcBorders>
              <w:top w:val="single" w:sz="8" w:color="auto"/>
            </w:tcBorders>
            <w:gridSpan w:val="2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 (†)</w:t>
            </w: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96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37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100" w:type="dxa"/>
            <w:vAlign w:val="bottom"/>
            <w:tcBorders>
              <w:right w:val="single" w:sz="8" w:color="CCEEFF"/>
            </w:tcBorders>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3.1(b)</w:t>
            </w:r>
          </w:p>
        </w:tc>
        <w:tc>
          <w:tcPr>
            <w:tcW w:w="10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Amended and Restated Certificate of Designation of Series A Junior Participating Preferred Stock of Light &amp; Wonder, Inc., filed with the</w:t>
            </w:r>
          </w:p>
        </w:tc>
        <w:tc>
          <w:tcPr>
            <w:tcW w:w="0" w:type="dxa"/>
            <w:vAlign w:val="bottom"/>
          </w:tcPr>
          <w:p>
            <w:pPr>
              <w:spacing w:after="0"/>
              <w:rPr>
                <w:sz w:val="1"/>
                <w:szCs w:val="1"/>
                <w:color w:val="auto"/>
              </w:rPr>
            </w:pPr>
          </w:p>
        </w:tc>
      </w:tr>
      <w:tr>
        <w:trPr>
          <w:trHeight w:val="189"/>
        </w:trPr>
        <w:tc>
          <w:tcPr>
            <w:tcW w:w="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9900" w:type="dxa"/>
            <w:vAlign w:val="bottom"/>
            <w:tcBorders>
              <w:top w:val="single" w:sz="8" w:color="0000FF"/>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Secretary of State of the State of Nevada on August 5, 2022. (†)</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10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8"/>
                <w:szCs w:val="18"/>
                <w:color w:val="auto"/>
                <w:w w:val="98"/>
              </w:rPr>
              <w:t>3.1(c)</w:t>
            </w:r>
          </w:p>
        </w:tc>
        <w:tc>
          <w:tcPr>
            <w:tcW w:w="1014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Articles of Merger, filed with Secretary of State of the State of Nevada, effective as of April 28, 2022 (incorporated by reference to Exhibit</w:t>
              </w:r>
            </w:hyperlink>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04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Light &amp; Wonder, Inc.’s Current Report on Form 8-K filed on April 29, 2022).</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960" w:type="dxa"/>
            <w:vAlign w:val="bottom"/>
            <w:tcBorders>
              <w:top w:val="single" w:sz="8" w:color="0000FF"/>
            </w:tcBorders>
          </w:tcPr>
          <w:p>
            <w:pPr>
              <w:spacing w:after="0"/>
              <w:rPr>
                <w:sz w:val="9"/>
                <w:szCs w:val="9"/>
                <w:color w:val="auto"/>
              </w:rPr>
            </w:pPr>
          </w:p>
        </w:tc>
        <w:tc>
          <w:tcPr>
            <w:tcW w:w="460" w:type="dxa"/>
            <w:vAlign w:val="bottom"/>
            <w:tcBorders>
              <w:top w:val="single" w:sz="8" w:color="0000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Second Amended and Restated Bylaws of Light &amp; Wonder, Inc., effective as of April 28, 2022 (incorporated by reference to Exhibit 3.2 to</w:t>
              </w:r>
            </w:hyperlink>
          </w:p>
        </w:tc>
        <w:tc>
          <w:tcPr>
            <w:tcW w:w="0" w:type="dxa"/>
            <w:vAlign w:val="bottom"/>
          </w:tcPr>
          <w:p>
            <w:pPr>
              <w:spacing w:after="0"/>
              <w:rPr>
                <w:sz w:val="1"/>
                <w:szCs w:val="1"/>
                <w:color w:val="auto"/>
              </w:rPr>
            </w:pPr>
          </w:p>
        </w:tc>
      </w:tr>
      <w:tr>
        <w:trPr>
          <w:trHeight w:val="230"/>
        </w:trPr>
        <w:tc>
          <w:tcPr>
            <w:tcW w:w="9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9980" w:type="dxa"/>
            <w:vAlign w:val="bottom"/>
            <w:tcBorders>
              <w:top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Light &amp; Wonder, Inc.’s Current Report on Form 8-K filed on April 29, 2022).</w:t>
              </w:r>
            </w:hyperlink>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960" w:type="dxa"/>
            <w:vAlign w:val="bottom"/>
            <w:tcBorders>
              <w:top w:val="single" w:sz="8" w:color="0000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Credit Agreement, by and among Scientific Games International, Inc., as the borrower, Light &amp; Wonder, Inc., as a guarantor, the several</w:t>
              </w:r>
            </w:hyperlink>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2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140" w:type="dxa"/>
            <w:vAlign w:val="bottom"/>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banks and other financial institutions or entities from time to time party thereto and JPMorgan Chase Bank, N.A., as administrative agent,</w:t>
              </w:r>
            </w:hyperlink>
          </w:p>
        </w:tc>
        <w:tc>
          <w:tcPr>
            <w:tcW w:w="0" w:type="dxa"/>
            <w:vAlign w:val="bottom"/>
          </w:tcPr>
          <w:p>
            <w:pPr>
              <w:spacing w:after="0"/>
              <w:rPr>
                <w:sz w:val="1"/>
                <w:szCs w:val="1"/>
                <w:color w:val="auto"/>
              </w:rPr>
            </w:pP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collateral agent, issuing lender and swingline lender (incorporated by reference to Exhibit 10.1 to Light &amp; Wonder, Inc.’s Current Report</w:t>
              </w:r>
            </w:hyperlink>
          </w:p>
        </w:tc>
        <w:tc>
          <w:tcPr>
            <w:tcW w:w="200" w:type="dxa"/>
            <w:vAlign w:val="bottom"/>
            <w:tcBorders>
              <w:top w:val="single" w:sz="8" w:color="CCEE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on</w:t>
              </w:r>
            </w:hyperlink>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008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8-K filed on April 15, 2022).</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Amendment No. 1 to the Equity Purchase Agreement, dated as of June 30, 2022, by and among Light &amp; Wonder, Inc., Endeavor Operating</w:t>
              </w:r>
            </w:hyperlink>
          </w:p>
        </w:tc>
        <w:tc>
          <w:tcPr>
            <w:tcW w:w="0" w:type="dxa"/>
            <w:vAlign w:val="bottom"/>
          </w:tcPr>
          <w:p>
            <w:pPr>
              <w:spacing w:after="0"/>
              <w:rPr>
                <w:sz w:val="1"/>
                <w:szCs w:val="1"/>
                <w:color w:val="auto"/>
              </w:rPr>
            </w:pPr>
          </w:p>
        </w:tc>
      </w:tr>
      <w:tr>
        <w:trPr>
          <w:trHeight w:val="169"/>
        </w:trPr>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20" w:type="dxa"/>
            <w:vAlign w:val="bottom"/>
            <w:tcBorders>
              <w:top w:val="single" w:sz="8" w:color="0000FF"/>
              <w:bottom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Company, LLC and Endeavor Group Holdings, Inc. (incorporated by reference to Exhibit 10.1 to Light &amp; Wonder, Inc.’s Current Report on</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60" w:type="dxa"/>
            <w:vAlign w:val="bottom"/>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8-K filed on June 30, 2022).</w:t>
              </w:r>
            </w:hyperlink>
          </w:p>
        </w:tc>
        <w:tc>
          <w:tcPr>
            <w:tcW w:w="6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60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Amendment No. 2 to the Equity Purchase Agreement, dated as of August 2, 2022, by and among Light &amp; Wonder, Inc., Endeavor Operating</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0120" w:type="dxa"/>
            <w:vAlign w:val="bottom"/>
            <w:tcBorders>
              <w:top w:val="single" w:sz="8" w:color="0000FF"/>
            </w:tcBorders>
            <w:gridSpan w:val="1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Company, LLC and Endeavor Group Holdings, Inc.**(†)</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13a-14(a), as adopted pursuant to Section 302 of the</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1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w:t>
            </w:r>
          </w:p>
        </w:tc>
        <w:tc>
          <w:tcPr>
            <w:tcW w:w="18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60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Rule 13a-14(a), as adopted pursuant to Section 302 of the</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9920" w:type="dxa"/>
            <w:vAlign w:val="bottom"/>
            <w:tcBorders>
              <w:top w:val="single" w:sz="8" w:color="0000FF"/>
            </w:tcBorders>
            <w:gridSpan w:val="11"/>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w:t>
            </w:r>
          </w:p>
        </w:tc>
        <w:tc>
          <w:tcPr>
            <w:tcW w:w="220" w:type="dxa"/>
            <w:vAlign w:val="bottom"/>
            <w:tcBorders>
              <w:top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60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13a-14(b) and 18 U.S.C. Section 1350, as adopted</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9820" w:type="dxa"/>
            <w:vAlign w:val="bottom"/>
            <w:tcBorders>
              <w:top w:val="single" w:sz="8" w:color="0000FF"/>
              <w:right w:val="single" w:sz="8" w:color="CCEEFF"/>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320" w:type="dxa"/>
            <w:vAlign w:val="bottom"/>
            <w:tcBorders>
              <w:top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right w:val="single" w:sz="8" w:color="CCEEFF"/>
            </w:tcBorders>
            <w:shd w:val="clear" w:color="auto" w:fill="CCEEFF"/>
          </w:tcPr>
          <w:p>
            <w:pPr>
              <w:spacing w:after="0"/>
              <w:rPr>
                <w:sz w:val="16"/>
                <w:szCs w:val="16"/>
                <w:color w:val="auto"/>
              </w:rPr>
            </w:pPr>
          </w:p>
        </w:tc>
        <w:tc>
          <w:tcPr>
            <w:tcW w:w="10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Rule 13a-14(b) and 18 U.S.C. Section 1350, as adopted</w:t>
            </w:r>
          </w:p>
        </w:tc>
        <w:tc>
          <w:tcPr>
            <w:tcW w:w="0" w:type="dxa"/>
            <w:vAlign w:val="bottom"/>
          </w:tcPr>
          <w:p>
            <w:pPr>
              <w:spacing w:after="0"/>
              <w:rPr>
                <w:sz w:val="1"/>
                <w:szCs w:val="1"/>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9820" w:type="dxa"/>
            <w:vAlign w:val="bottom"/>
            <w:tcBorders>
              <w:top w:val="single" w:sz="8" w:color="0000FF"/>
              <w:right w:val="single" w:sz="8" w:color="CCEEFF"/>
            </w:tcBorders>
            <w:gridSpan w:val="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320" w:type="dxa"/>
            <w:vAlign w:val="bottom"/>
            <w:tcBorders>
              <w:top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8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3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10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48"/>
        </w:trPr>
        <w:tc>
          <w:tcPr>
            <w:tcW w:w="9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10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10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10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Label Linkbase Document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10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10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101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00" w:right="40" w:hanging="741"/>
        <w:spacing w:after="0" w:line="282"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299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firstLine="8"/>
        <w:spacing w:after="0" w:line="260" w:lineRule="auto"/>
        <w:tabs>
          <w:tab w:leader="none" w:pos="2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agrees to furnish supplementally to the SEC a copy of any omitted schedule or exhibit upon request by the SEC.</w:t>
      </w:r>
    </w:p>
    <w:p>
      <w:pPr>
        <w:spacing w:after="0" w:line="200" w:lineRule="exact"/>
        <w:rPr>
          <w:sz w:val="20"/>
          <w:szCs w:val="20"/>
          <w:color w:val="auto"/>
        </w:rPr>
      </w:pPr>
    </w:p>
    <w:p>
      <w:pPr>
        <w:spacing w:after="0" w:line="3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1" w:right="5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34" w:lineRule="exact"/>
        <w:rPr>
          <w:sz w:val="20"/>
          <w:szCs w:val="20"/>
          <w:color w:val="auto"/>
        </w:rPr>
      </w:pPr>
    </w:p>
    <w:tbl>
      <w:tblPr>
        <w:tblLayout w:type="fixed"/>
        <w:tblInd w:w="4280" w:type="dxa"/>
        <w:tblCellMar>
          <w:top w:w="0" w:type="dxa"/>
          <w:left w:w="0" w:type="dxa"/>
          <w:bottom w:w="0" w:type="dxa"/>
          <w:right w:w="0" w:type="dxa"/>
        </w:tblCellMar>
      </w:tblPr>
      <w:tr>
        <w:trPr>
          <w:trHeight w:val="248"/>
        </w:trPr>
        <w:tc>
          <w:tcPr>
            <w:tcW w:w="920" w:type="dxa"/>
            <w:vAlign w:val="bottom"/>
            <w:tcBorders>
              <w:top w:val="single" w:sz="8" w:color="auto"/>
            </w:tcBorders>
          </w:tcPr>
          <w:p>
            <w:pPr>
              <w:spacing w:after="0"/>
              <w:rPr>
                <w:sz w:val="21"/>
                <w:szCs w:val="21"/>
                <w:color w:val="auto"/>
              </w:rPr>
            </w:pPr>
          </w:p>
        </w:tc>
        <w:tc>
          <w:tcPr>
            <w:tcW w:w="60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52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Constance P. James</w:t>
            </w:r>
          </w:p>
        </w:tc>
        <w:tc>
          <w:tcPr>
            <w:tcW w:w="0" w:type="dxa"/>
            <w:vAlign w:val="bottom"/>
          </w:tcPr>
          <w:p>
            <w:pPr>
              <w:spacing w:after="0"/>
              <w:rPr>
                <w:sz w:val="1"/>
                <w:szCs w:val="1"/>
                <w:color w:val="auto"/>
              </w:rPr>
            </w:pPr>
          </w:p>
        </w:tc>
      </w:tr>
      <w:tr>
        <w:trPr>
          <w:trHeight w:val="27"/>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20" w:type="dxa"/>
            <w:vAlign w:val="bottom"/>
            <w:vMerge w:val="continue"/>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Constance P. James</w:t>
            </w:r>
          </w:p>
        </w:tc>
        <w:tc>
          <w:tcPr>
            <w:tcW w:w="0" w:type="dxa"/>
            <w:vAlign w:val="bottom"/>
          </w:tcPr>
          <w:p>
            <w:pPr>
              <w:spacing w:after="0"/>
              <w:rPr>
                <w:sz w:val="1"/>
                <w:szCs w:val="1"/>
                <w:color w:val="auto"/>
              </w:rPr>
            </w:pPr>
          </w:p>
        </w:tc>
      </w:tr>
      <w:tr>
        <w:trPr>
          <w:trHeight w:val="198"/>
        </w:trPr>
        <w:tc>
          <w:tcPr>
            <w:tcW w:w="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Title:</w:t>
            </w:r>
          </w:p>
        </w:tc>
        <w:tc>
          <w:tcPr>
            <w:tcW w:w="6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Executive Vice President, Chief Financial Officer, Treasurer, Corporate Secretary,</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RESTATED ARTICLES OF INCORPORATION</w:t>
      </w:r>
    </w:p>
    <w:p>
      <w:pPr>
        <w:spacing w:after="0" w:line="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OF LIGHT &amp; WONDER, INC.</w:t>
      </w:r>
    </w:p>
    <w:p>
      <w:pPr>
        <w:spacing w:after="0" w:line="14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NAME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Light &amp; Wonder,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REGISTERED OFFICE</w:t>
      </w:r>
    </w:p>
    <w:p>
      <w:pPr>
        <w:spacing w:after="0" w:line="14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PURPOSE</w:t>
      </w:r>
    </w:p>
    <w:p>
      <w:pPr>
        <w:spacing w:after="0" w:line="128"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The Corporation is formed for the purpose of engaging in any lawful activity for which corporations may be organized under the laws of the State of Nevada.</w:t>
      </w:r>
    </w:p>
    <w:p>
      <w:pPr>
        <w:spacing w:after="0" w:line="11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CAPITAL STOCK</w:t>
      </w:r>
    </w:p>
    <w:p>
      <w:pPr>
        <w:spacing w:after="0" w:line="128" w:lineRule="exact"/>
        <w:rPr>
          <w:sz w:val="20"/>
          <w:szCs w:val="20"/>
          <w:color w:val="auto"/>
        </w:rPr>
      </w:pPr>
    </w:p>
    <w:p>
      <w:pPr>
        <w:ind w:right="40" w:firstLine="656"/>
        <w:spacing w:after="0" w:line="253" w:lineRule="auto"/>
        <w:tabs>
          <w:tab w:leader="none" w:pos="1002"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Stock</w:t>
      </w:r>
      <w:r>
        <w:rPr>
          <w:rFonts w:ascii="Times New Roman" w:cs="Times New Roman" w:eastAsia="Times New Roman" w:hAnsi="Times New Roman"/>
          <w:sz w:val="21"/>
          <w:szCs w:val="21"/>
          <w:color w:val="auto"/>
        </w:rPr>
        <w:t>. The total number of shares of all stock which the Corporation shall have authority to issue is 202,000,000 shares, consisting of: (i) 200,000,000 shares of common stock, par value $.001 per share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and</w:t>
      </w:r>
    </w:p>
    <w:p>
      <w:pPr>
        <w:ind w:right="440" w:firstLine="8"/>
        <w:spacing w:after="0" w:line="231" w:lineRule="auto"/>
        <w:tabs>
          <w:tab w:leader="none" w:pos="3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2,000,000 shares, $.001 par value per share, designated as preferred stock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All cross references in each subdivision of this ARTICLE IV refer to other paragraphs in such subdivision unless otherwise indicated.</w:t>
      </w:r>
    </w:p>
    <w:p>
      <w:pPr>
        <w:spacing w:after="0" w:line="13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20" w:firstLine="656"/>
        <w:spacing w:after="0" w:line="241" w:lineRule="auto"/>
        <w:tabs>
          <w:tab w:leader="none" w:pos="95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w:t>
      </w:r>
      <w:r>
        <w:rPr>
          <w:rFonts w:ascii="Times New Roman" w:cs="Times New Roman" w:eastAsia="Times New Roman" w:hAnsi="Times New Roman"/>
          <w:sz w:val="21"/>
          <w:szCs w:val="21"/>
          <w:color w:val="auto"/>
        </w:rPr>
        <w:t>. The shares of Preferred Stock are hereby authorized to be issued from time to time in one or more series, the shares of each series to have such voting powers, full or limited, or no voting powers, and such designations, preferences and relative, participating, optional or other special rights and qualifications, limitations or restrictions as are specified in the resolution or resolutions adopted by the board of directors of the Corporation (the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providing for the issue thereof. Such Preferred Stock may be convertible into, or exchangeable for, at the option of either the holder or the Corporation or upon the happening of a specified event, shares of any other class or classes or any other series of the same or any other class or classes of capital stock of the Corporation at such price or prices or at such rate or rates of exchange and with such adjustments as shall be stated and expressed in these Articles of Incorporation, as amended from time to time (these “</w:t>
      </w:r>
      <w:r>
        <w:rPr>
          <w:rFonts w:ascii="Times New Roman" w:cs="Times New Roman" w:eastAsia="Times New Roman" w:hAnsi="Times New Roman"/>
          <w:sz w:val="21"/>
          <w:szCs w:val="21"/>
          <w:u w:val="single" w:color="auto"/>
          <w:color w:val="auto"/>
        </w:rPr>
        <w:t>Articles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Incorporation</w:t>
      </w:r>
      <w:r>
        <w:rPr>
          <w:rFonts w:ascii="Times New Roman" w:cs="Times New Roman" w:eastAsia="Times New Roman" w:hAnsi="Times New Roman"/>
          <w:sz w:val="21"/>
          <w:szCs w:val="21"/>
          <w:color w:val="auto"/>
        </w:rPr>
        <w:t>”) or in the resolution or resolutions adopted by the Board of Directors providing for the issue thereof.</w:t>
      </w:r>
    </w:p>
    <w:p>
      <w:pPr>
        <w:sectPr>
          <w:pgSz w:w="11900" w:h="16838" w:orient="portrait"/>
          <w:cols w:equalWidth="0" w:num="1">
            <w:col w:w="11240"/>
          </w:cols>
          <w:pgMar w:left="320" w:top="135" w:right="339" w:bottom="1440" w:gutter="0" w:footer="0" w:header="0"/>
        </w:sectPr>
      </w:pPr>
    </w:p>
    <w:bookmarkStart w:id="49" w:name="page50"/>
    <w:bookmarkEnd w:id="49"/>
    <w:p>
      <w:pPr>
        <w:spacing w:after="0" w:line="387" w:lineRule="exact"/>
        <w:rPr>
          <w:sz w:val="20"/>
          <w:szCs w:val="20"/>
          <w:color w:val="auto"/>
        </w:rPr>
      </w:pPr>
    </w:p>
    <w:p>
      <w:pPr>
        <w:ind w:right="40" w:firstLine="656"/>
        <w:spacing w:after="0" w:line="232" w:lineRule="auto"/>
        <w:tabs>
          <w:tab w:leader="none" w:pos="95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Vested in the Board</w:t>
      </w:r>
      <w:r>
        <w:rPr>
          <w:rFonts w:ascii="Times New Roman" w:cs="Times New Roman" w:eastAsia="Times New Roman" w:hAnsi="Times New Roman"/>
          <w:sz w:val="22"/>
          <w:szCs w:val="22"/>
          <w:color w:val="auto"/>
        </w:rPr>
        <w:t>. Authority is hereby expressly vested in the Board of Directors, subject to the provisions of this ARTICLE IV and to the limitations prescribed by law, to authorize the issue from time to time of one or more series of Preferred Stock and, with respect to each such series, to fix by resolution or resolutions adopted by the affirmative vote of a majority of the whole Board of Directors providing for the issue of such series the voting powers, full or limited, if any, of the shares of such series and the designations, preferences and relative, participating, optional or other special rights and the qualifications, limitations or restrictions thereof. The authority of the Board of Directors with respect to each series shall include, but not be limited to, the determination of the following:</w:t>
      </w:r>
    </w:p>
    <w:p>
      <w:pPr>
        <w:spacing w:after="0" w:line="13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designation of such series.</w:t>
      </w:r>
    </w:p>
    <w:p>
      <w:pPr>
        <w:spacing w:after="0" w:line="165" w:lineRule="exact"/>
        <w:rPr>
          <w:rFonts w:ascii="Times New Roman" w:cs="Times New Roman" w:eastAsia="Times New Roman" w:hAnsi="Times New Roman"/>
          <w:sz w:val="22"/>
          <w:szCs w:val="22"/>
          <w:color w:val="auto"/>
        </w:rPr>
      </w:pPr>
    </w:p>
    <w:p>
      <w:pPr>
        <w:jc w:val="both"/>
        <w:ind w:right="420" w:firstLine="1304"/>
        <w:spacing w:after="0" w:line="238" w:lineRule="auto"/>
        <w:tabs>
          <w:tab w:leader="none" w:pos="160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rate of such series, the conditions and dates upon which such dividends shall be payable, the relation which such dividends shall bear to the dividends payable on any other class or classes or series of the Corporation’s capital stock, and whether such dividends shall be cumulative or noncumulative.</w:t>
      </w:r>
    </w:p>
    <w:p>
      <w:pPr>
        <w:spacing w:after="0" w:line="138" w:lineRule="exact"/>
        <w:rPr>
          <w:rFonts w:ascii="Times New Roman" w:cs="Times New Roman" w:eastAsia="Times New Roman" w:hAnsi="Times New Roman"/>
          <w:sz w:val="22"/>
          <w:szCs w:val="22"/>
          <w:color w:val="auto"/>
        </w:rPr>
      </w:pPr>
    </w:p>
    <w:p>
      <w:pPr>
        <w:ind w:right="160" w:firstLine="1304"/>
        <w:spacing w:after="0" w:line="238" w:lineRule="auto"/>
        <w:tabs>
          <w:tab w:leader="none" w:pos="159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shares of such series shall be subject to redemption by the Corporation at the option of either the Corporation or the holder or both or upon the happening of a specified event and, if made subject to any such redemption, the times or events, prices and other terms and conditions of such redemption.</w:t>
      </w:r>
    </w:p>
    <w:p>
      <w:pPr>
        <w:spacing w:after="0" w:line="138"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amount of any sinking fund provided for the purchase or redemption of the shares of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series.</w:t>
      </w:r>
    </w:p>
    <w:p>
      <w:pPr>
        <w:spacing w:after="0" w:line="141" w:lineRule="exact"/>
        <w:rPr>
          <w:rFonts w:ascii="Times New Roman" w:cs="Times New Roman" w:eastAsia="Times New Roman" w:hAnsi="Times New Roman"/>
          <w:sz w:val="22"/>
          <w:szCs w:val="22"/>
          <w:color w:val="auto"/>
        </w:rPr>
      </w:pPr>
    </w:p>
    <w:p>
      <w:pPr>
        <w:ind w:firstLine="1304"/>
        <w:spacing w:after="0" w:line="233" w:lineRule="auto"/>
        <w:tabs>
          <w:tab w:leader="none" w:pos="159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shares of such series shall be convertible into, or exchangeable for, at the option of either the holder or the Corporation or upon the happening of a specified event, shares of any other class or classes or of any other series of the same or any other class or classes of the Corporation’s capital stock, and, if provision is made for conversion or exchange, the times or events, prices, rates, adjustments and other terms and conditions of such conversions or exchanges.</w:t>
      </w:r>
    </w:p>
    <w:p>
      <w:pPr>
        <w:spacing w:after="0" w:line="138"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if any, on the issue or reissue of any additional Preferred Stock.</w:t>
      </w:r>
    </w:p>
    <w:p>
      <w:pPr>
        <w:spacing w:after="0" w:line="165" w:lineRule="exact"/>
        <w:rPr>
          <w:rFonts w:ascii="Times New Roman" w:cs="Times New Roman" w:eastAsia="Times New Roman" w:hAnsi="Times New Roman"/>
          <w:sz w:val="22"/>
          <w:szCs w:val="22"/>
          <w:color w:val="auto"/>
        </w:rPr>
      </w:pPr>
    </w:p>
    <w:p>
      <w:pPr>
        <w:ind w:right="80" w:firstLine="1304"/>
        <w:spacing w:after="0" w:line="258" w:lineRule="auto"/>
        <w:tabs>
          <w:tab w:leader="none" w:pos="160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the holders of the shares of such series upon the voluntary or involuntary liquidation, dissolution or winding up of the Corporation.</w:t>
      </w:r>
    </w:p>
    <w:p>
      <w:pPr>
        <w:spacing w:after="0" w:line="11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as to voting, optional and/or other special rights and preferences, if any.</w:t>
      </w:r>
    </w:p>
    <w:p>
      <w:pPr>
        <w:spacing w:after="0" w:line="165" w:lineRule="exact"/>
        <w:rPr>
          <w:rFonts w:ascii="Times New Roman" w:cs="Times New Roman" w:eastAsia="Times New Roman" w:hAnsi="Times New Roman"/>
          <w:sz w:val="22"/>
          <w:szCs w:val="22"/>
          <w:color w:val="auto"/>
        </w:rPr>
      </w:pPr>
    </w:p>
    <w:p>
      <w:pPr>
        <w:ind w:right="60" w:firstLine="656"/>
        <w:spacing w:after="0" w:line="244" w:lineRule="auto"/>
        <w:tabs>
          <w:tab w:leader="none" w:pos="95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xml:space="preserve"> Before the Corporation shall issue any shares of Preferred Stock of any series, a certificate of designation setting forth a copy of the resolution or resolutions of the Board of Directors, and establishing the voting powers, if any, and the designations, preferences and relative, participating, optional or other special rights, if any, and the qualifications, limitations or restrictions thereof, if any, relating to the shares of Preferred Stock of such series, and the number of shares of Preferred Stock of such series authorized by the Board of Directors to be issued, shall be made and signed by an officer of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40"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filed in the manner prescribed by the Nevada Revised Statutes, as amended from time to time (the “</w:t>
      </w:r>
      <w:r>
        <w:rPr>
          <w:rFonts w:ascii="Times New Roman" w:cs="Times New Roman" w:eastAsia="Times New Roman" w:hAnsi="Times New Roman"/>
          <w:sz w:val="22"/>
          <w:szCs w:val="22"/>
          <w:u w:val="single" w:color="auto"/>
          <w:color w:val="auto"/>
        </w:rPr>
        <w:t>NRS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000" w:hanging="344"/>
        <w:spacing w:after="0"/>
        <w:tabs>
          <w:tab w:leader="none" w:pos="10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480" w:firstLine="656"/>
        <w:spacing w:after="0" w:line="238" w:lineRule="auto"/>
        <w:tabs>
          <w:tab w:leader="none" w:pos="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The holders of Common Stock will be entitled to notice of and to attend all meetings of the stockholders of the Corporation and shall be entitled to one vote per share on all matters to be voted on by the Corporation’s stockholders.</w:t>
      </w:r>
    </w:p>
    <w:p>
      <w:pPr>
        <w:spacing w:after="0" w:line="138" w:lineRule="exact"/>
        <w:rPr>
          <w:rFonts w:ascii="Times New Roman" w:cs="Times New Roman" w:eastAsia="Times New Roman" w:hAnsi="Times New Roman"/>
          <w:sz w:val="22"/>
          <w:szCs w:val="22"/>
          <w:color w:val="auto"/>
        </w:rPr>
      </w:pPr>
    </w:p>
    <w:p>
      <w:pPr>
        <w:ind w:firstLine="656"/>
        <w:spacing w:after="0" w:line="232" w:lineRule="auto"/>
        <w:tabs>
          <w:tab w:leader="none" w:pos="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Subject to all provisions of this ARTICLE IV, including the rights of holders of any Preferred Stock having preference as to dividends and except as otherwise provided by these Articles of Incorporation or the NRS, the holders of the Common Stock shall be entitled to receive dividends when and as declared by the Board of Directors, out of any funds legally available for such purpose. When and as dividends are declared thereon, whether payable in cash, property or securities of the Corporation, the holders of Common Stock will be entitled to share, ratably according to the number of shares of Common Stock held by them, in such dividends.</w:t>
      </w:r>
    </w:p>
    <w:p>
      <w:pPr>
        <w:spacing w:after="0" w:line="139" w:lineRule="exact"/>
        <w:rPr>
          <w:rFonts w:ascii="Times New Roman" w:cs="Times New Roman" w:eastAsia="Times New Roman" w:hAnsi="Times New Roman"/>
          <w:sz w:val="22"/>
          <w:szCs w:val="22"/>
          <w:color w:val="auto"/>
        </w:rPr>
      </w:pPr>
    </w:p>
    <w:p>
      <w:pPr>
        <w:ind w:right="20" w:firstLine="656"/>
        <w:spacing w:after="0" w:line="232" w:lineRule="auto"/>
        <w:tabs>
          <w:tab w:leader="none" w:pos="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Rights</w:t>
      </w:r>
      <w:r>
        <w:rPr>
          <w:rFonts w:ascii="Times New Roman" w:cs="Times New Roman" w:eastAsia="Times New Roman" w:hAnsi="Times New Roman"/>
          <w:sz w:val="22"/>
          <w:szCs w:val="22"/>
          <w:color w:val="auto"/>
        </w:rPr>
        <w:t>. In the event of any liquidation, dissolution or winding up of the Corporation, whether voluntary or involuntary, or any distribution of any of its assets to any of its stockholders other than by dividends from funds legally available therefor, and other than payments made upon redemptions or purchases of shares of the Corporation, after payment in full of the amount which the holders of Preferred Stock are entitled to receive in such event, the holders of Common Stock shall be entitled to share, ratably according to the number of shares of Common Stock held by them, in the remaining assets of the Corporation available for distribution to its stockholders.</w:t>
      </w:r>
    </w:p>
    <w:p>
      <w:pPr>
        <w:spacing w:after="0" w:line="1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BYLAWS</w:t>
      </w:r>
    </w:p>
    <w:p>
      <w:pPr>
        <w:spacing w:after="0" w:line="142" w:lineRule="exact"/>
        <w:rPr>
          <w:sz w:val="20"/>
          <w:szCs w:val="20"/>
          <w:color w:val="auto"/>
        </w:rPr>
      </w:pPr>
    </w:p>
    <w:p>
      <w:pPr>
        <w:ind w:right="140" w:firstLine="648"/>
        <w:spacing w:after="0" w:line="232"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statute, the Board of Directors is expressly authorized to adopt, amend or repeal the bylaws of the Corporation (as amended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Elections of directors need not be by written ballot unless the Bylaws shall so provide. Meetings of stockholders may be held within or without the State of Nevada, as the Bylaws provide. The books of the Corporation may be kept (subject to any provision contained in the statutes) outside the State of Nevada at such place or places as may be designated from time to time by the Board of Directors or in the Bylaws.</w:t>
      </w:r>
    </w:p>
    <w:p>
      <w:pPr>
        <w:spacing w:after="0" w:line="1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AMENDMENTS TO ARTICLES</w:t>
      </w:r>
    </w:p>
    <w:p>
      <w:pPr>
        <w:spacing w:after="0" w:line="142"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Corporation reserves the right to amend, alter, change or repeal any provision contained in these Articles of Incorporation, in the manner now or hereafter prescribed by statute, and all rights conferred upon stockholders herein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08" w:right="359" w:bottom="1440" w:gutter="0" w:footer="0" w:header="0"/>
        </w:sectPr>
      </w:pPr>
    </w:p>
    <w:bookmarkStart w:id="51" w:name="page52"/>
    <w:bookmarkEnd w:id="51"/>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1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INDEMNIFICATION; EXCULPATION</w:t>
      </w:r>
    </w:p>
    <w:p>
      <w:pPr>
        <w:spacing w:after="0" w:line="142" w:lineRule="exact"/>
        <w:rPr>
          <w:sz w:val="20"/>
          <w:szCs w:val="20"/>
          <w:color w:val="auto"/>
        </w:rPr>
      </w:pPr>
    </w:p>
    <w:p>
      <w:pPr>
        <w:jc w:val="both"/>
        <w:ind w:right="300" w:firstLine="656"/>
        <w:spacing w:after="0" w:line="255" w:lineRule="auto"/>
        <w:tabs>
          <w:tab w:leader="none" w:pos="100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To the fullest extent permitted under the NRS (including, without limitation, NRS 78.7502, NRS 78.751 and 78.752) and other applicable law, the Corporation shall indemnify directors and officers of the Corporation in their respective capacities as such and in any and all other capacities in which any of them serves at the request of the Corporation.</w:t>
      </w:r>
    </w:p>
    <w:p>
      <w:pPr>
        <w:spacing w:after="0" w:line="121" w:lineRule="exact"/>
        <w:rPr>
          <w:rFonts w:ascii="Times New Roman" w:cs="Times New Roman" w:eastAsia="Times New Roman" w:hAnsi="Times New Roman"/>
          <w:sz w:val="21"/>
          <w:szCs w:val="21"/>
          <w:color w:val="auto"/>
        </w:rPr>
      </w:pPr>
    </w:p>
    <w:p>
      <w:pPr>
        <w:jc w:val="both"/>
        <w:ind w:right="120" w:firstLine="656"/>
        <w:spacing w:after="0" w:line="236" w:lineRule="auto"/>
        <w:tabs>
          <w:tab w:leader="none" w:pos="99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spacing w:after="0" w:line="125" w:lineRule="exact"/>
        <w:rPr>
          <w:rFonts w:ascii="Times New Roman" w:cs="Times New Roman" w:eastAsia="Times New Roman" w:hAnsi="Times New Roman"/>
          <w:sz w:val="22"/>
          <w:szCs w:val="22"/>
          <w:color w:val="auto"/>
        </w:rPr>
      </w:pPr>
    </w:p>
    <w:p>
      <w:pPr>
        <w:ind w:right="140" w:firstLine="656"/>
        <w:spacing w:after="0" w:line="235" w:lineRule="auto"/>
        <w:tabs>
          <w:tab w:leader="none" w:pos="99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Repeal and Conflicts</w:t>
      </w:r>
      <w:r>
        <w:rPr>
          <w:rFonts w:ascii="Times New Roman" w:cs="Times New Roman" w:eastAsia="Times New Roman" w:hAnsi="Times New Roman"/>
          <w:sz w:val="22"/>
          <w:szCs w:val="22"/>
          <w:color w:val="auto"/>
        </w:rPr>
        <w:t>. Any amendment to or repeal of any provision or section of this ARTICLE VII shall be prospective only, and shall not apply to or have any effect on the right or protection of, or the liability or alleged liability of, any director or officer of the Corporation existing prior to or at the time of such amendment or repeal. In the event of any conflict between any provision or section of this ARTICLE VII and any other article of the Articles of Incorporation, the terms and provisions of this ARTICLE VII shall control.</w:t>
      </w:r>
    </w:p>
    <w:p>
      <w:pPr>
        <w:spacing w:after="0" w:line="1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COMPLIANCE WITH GAMING LAWS</w:t>
      </w:r>
    </w:p>
    <w:p>
      <w:pPr>
        <w:spacing w:after="0" w:line="142"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To enable the Corporation or any Affiliate (as such term is hereinafter defined) thereof to secure and maintain in good standing all licenses, contracts, franchises, permits, registrations, findings of suitability, exemptions, waivers and other regulatory approvals related to the ownership, control, conduct or operation of gaming and related activities now or hereafter engaged in by the Corporation or any Affiliate thereof within or without the United States of America (collectively, “</w:t>
      </w:r>
      <w:r>
        <w:rPr>
          <w:rFonts w:ascii="Times New Roman" w:cs="Times New Roman" w:eastAsia="Times New Roman" w:hAnsi="Times New Roman"/>
          <w:sz w:val="22"/>
          <w:szCs w:val="22"/>
          <w:u w:val="single" w:color="auto"/>
          <w:color w:val="auto"/>
        </w:rPr>
        <w:t>Gaming Licenses</w:t>
      </w:r>
      <w:r>
        <w:rPr>
          <w:rFonts w:ascii="Times New Roman" w:cs="Times New Roman" w:eastAsia="Times New Roman" w:hAnsi="Times New Roman"/>
          <w:sz w:val="22"/>
          <w:szCs w:val="22"/>
          <w:color w:val="auto"/>
        </w:rPr>
        <w:t>”), the following provisions shall apply:</w:t>
      </w:r>
    </w:p>
    <w:p>
      <w:pPr>
        <w:spacing w:after="0" w:line="138" w:lineRule="exact"/>
        <w:rPr>
          <w:sz w:val="20"/>
          <w:szCs w:val="20"/>
          <w:color w:val="auto"/>
        </w:rPr>
      </w:pPr>
    </w:p>
    <w:p>
      <w:pPr>
        <w:ind w:firstLine="656"/>
        <w:spacing w:after="0" w:line="230" w:lineRule="auto"/>
        <w:tabs>
          <w:tab w:leader="none" w:pos="100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Securities (as hereinafter defined) shall be held subject to all applicable Gaming Laws (as hereinafter defined) and the suitability standards, qualifications and requirements of the Gaming Authorities (as hereinafter defined) that regulate the operation and conduct of the businesses of the Corporation or any Affiliate thereof and in accordance with the requirements of all applicable Gaming Laws. Any person (as hereinafter defined) owning or controlling Securities shall comply with all applicable Gaming Laws. If any person that holds Securities of the Corporation is determined to be a Disqualified Holder (as hereinafter defined), then, if the Corporation so elects in its sole discretion (unless otherwise required by any Gaming Law or Gaming Authority):</w:t>
      </w:r>
    </w:p>
    <w:p>
      <w:pPr>
        <w:spacing w:after="0" w:line="139" w:lineRule="exact"/>
        <w:rPr>
          <w:sz w:val="20"/>
          <w:szCs w:val="20"/>
          <w:color w:val="auto"/>
        </w:rPr>
      </w:pPr>
    </w:p>
    <w:p>
      <w:pPr>
        <w:ind w:right="360" w:firstLine="656"/>
        <w:spacing w:after="0" w:line="282" w:lineRule="auto"/>
        <w:tabs>
          <w:tab w:leader="none" w:pos="95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shall sell or otherwise dispose of such Securities or other interest in the Corporation within the 60-day period commencing on the date the Corporation gives the person notice of such person’s unsuitability or disqualification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8" w:right="359" w:bottom="1440" w:gutter="0" w:footer="0" w:header="0"/>
        </w:sectPr>
      </w:pPr>
    </w:p>
    <w:bookmarkStart w:id="52" w:name="page53"/>
    <w:bookmarkEnd w:id="52"/>
    <w:p>
      <w:pPr>
        <w:ind w:right="960"/>
        <w:spacing w:after="0" w:line="258" w:lineRule="auto"/>
        <w:rPr>
          <w:sz w:val="20"/>
          <w:szCs w:val="20"/>
          <w:color w:val="auto"/>
        </w:rPr>
      </w:pPr>
      <w:r>
        <w:rPr>
          <w:rFonts w:ascii="Times New Roman" w:cs="Times New Roman" w:eastAsia="Times New Roman" w:hAnsi="Times New Roman"/>
          <w:sz w:val="22"/>
          <w:szCs w:val="22"/>
          <w:color w:val="auto"/>
        </w:rPr>
        <w:t>requiring such disposition (or an earlier time if so required by any Gaming Authority or any Gaming Law) in a manner satisfactory to the Board of Directors in its sole discretion; or</w:t>
      </w:r>
    </w:p>
    <w:p>
      <w:pPr>
        <w:spacing w:after="0" w:line="118" w:lineRule="exact"/>
        <w:rPr>
          <w:sz w:val="20"/>
          <w:szCs w:val="20"/>
          <w:color w:val="auto"/>
        </w:rPr>
      </w:pPr>
    </w:p>
    <w:p>
      <w:pPr>
        <w:jc w:val="both"/>
        <w:ind w:right="140" w:firstLine="656"/>
        <w:spacing w:after="0" w:line="238" w:lineRule="auto"/>
        <w:tabs>
          <w:tab w:leader="none" w:pos="95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redeem any or all such Securities of the Corporation on the date specified in the notice given by the Corporation to such person, which date may not be less than 30 days after notice is given, at a price equal to the Redemption Price (as hereinafter defined).</w:t>
      </w:r>
    </w:p>
    <w:p>
      <w:pPr>
        <w:spacing w:after="0" w:line="138" w:lineRule="exact"/>
        <w:rPr>
          <w:sz w:val="20"/>
          <w:szCs w:val="20"/>
          <w:color w:val="auto"/>
        </w:rPr>
      </w:pPr>
    </w:p>
    <w:p>
      <w:pPr>
        <w:ind w:right="180" w:firstLine="656"/>
        <w:spacing w:after="0" w:line="232" w:lineRule="auto"/>
        <w:tabs>
          <w:tab w:leader="none" w:pos="99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to a Disqualified Holder under paragraph (A)(1) or (2) of this ARTICLE VIII shall be delivered in writing by personal delivery, mailing it to the address shown on the Corporation’s books and records or any other reasonable means and shall be deemed effective on the date given (the “</w:t>
      </w:r>
      <w:r>
        <w:rPr>
          <w:rFonts w:ascii="Times New Roman" w:cs="Times New Roman" w:eastAsia="Times New Roman" w:hAnsi="Times New Roman"/>
          <w:sz w:val="22"/>
          <w:szCs w:val="22"/>
          <w:u w:val="single" w:color="auto"/>
          <w:color w:val="auto"/>
        </w:rPr>
        <w:t>Notice Date</w:t>
      </w:r>
      <w:r>
        <w:rPr>
          <w:rFonts w:ascii="Times New Roman" w:cs="Times New Roman" w:eastAsia="Times New Roman" w:hAnsi="Times New Roman"/>
          <w:sz w:val="22"/>
          <w:szCs w:val="22"/>
          <w:color w:val="auto"/>
        </w:rPr>
        <w:t>”). Failure of the Corporation to provide such notice to a Disqualified Holder after making reasonable efforts to do so shall not preclude the Corporation from exercising its rights under this Article.</w:t>
      </w:r>
    </w:p>
    <w:p>
      <w:pPr>
        <w:spacing w:after="0" w:line="140" w:lineRule="exact"/>
        <w:rPr>
          <w:rFonts w:ascii="Times New Roman" w:cs="Times New Roman" w:eastAsia="Times New Roman" w:hAnsi="Times New Roman"/>
          <w:sz w:val="22"/>
          <w:szCs w:val="22"/>
          <w:color w:val="auto"/>
        </w:rPr>
      </w:pPr>
    </w:p>
    <w:p>
      <w:pPr>
        <w:ind w:right="40" w:firstLine="656"/>
        <w:spacing w:after="0" w:line="232" w:lineRule="auto"/>
        <w:tabs>
          <w:tab w:leader="none" w:pos="99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 intends to redeem Securities in accordance with paragraph (A)(2) of this ARTICLE VIII, the notice shall specify the Securities to be redeemed, the date, time and place when such redemption will be consummated, which date in no event will be earlier than 30 days after the date of such notice, and the Redemption Price (it being sufficient for the purposes of this ARTICLE VIII for the Corporation to indicate generally that the Redemption Price will be determined in accordance with paragraphs (C) and (M) hereof). If the Corporation gives the notice provided for by the preceding sentence, such notice shall be deemed to constitute a binding agreement on the part of the Corporation to redeem, and on the part of the person notified to sell, the Securities referred to in such Notice in accordance with this ARTICLE VIII.</w:t>
      </w:r>
    </w:p>
    <w:p>
      <w:pPr>
        <w:spacing w:after="0" w:line="137"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 of this ARTICLE VIII shall not be stayed by an appeal from a determination of any Gaming Authority.</w:t>
      </w:r>
    </w:p>
    <w:p>
      <w:pPr>
        <w:spacing w:after="0" w:line="163" w:lineRule="exact"/>
        <w:rPr>
          <w:rFonts w:ascii="Times New Roman" w:cs="Times New Roman" w:eastAsia="Times New Roman" w:hAnsi="Times New Roman"/>
          <w:sz w:val="21"/>
          <w:szCs w:val="21"/>
          <w:color w:val="auto"/>
        </w:rPr>
      </w:pPr>
    </w:p>
    <w:p>
      <w:pPr>
        <w:ind w:firstLine="656"/>
        <w:spacing w:after="0" w:line="250" w:lineRule="auto"/>
        <w:tabs>
          <w:tab w:leader="none" w:pos="97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on the Notice Date (or such earlier date on which any Gaming Authority serves notice of its determination of unsuitability or disqualification of the Disqualified Holder on the Corporation), the Disqualified Holder shall not be entitled to receive payments of dividends or interest upon any Securities of the Corporation held by such Disqualified Holder, or exercise, directly or indirectly, any voting or other rights conferred by the Corporation’s Securities upon the holders thereof.</w:t>
      </w:r>
    </w:p>
    <w:p>
      <w:pPr>
        <w:spacing w:after="0" w:line="127" w:lineRule="exact"/>
        <w:rPr>
          <w:rFonts w:ascii="Times New Roman" w:cs="Times New Roman" w:eastAsia="Times New Roman" w:hAnsi="Times New Roman"/>
          <w:sz w:val="21"/>
          <w:szCs w:val="21"/>
          <w:color w:val="auto"/>
        </w:rPr>
      </w:pPr>
    </w:p>
    <w:p>
      <w:pPr>
        <w:ind w:right="340" w:firstLine="656"/>
        <w:spacing w:after="0" w:line="235" w:lineRule="auto"/>
        <w:tabs>
          <w:tab w:leader="none" w:pos="96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have the power to determine, on the basis of information known to the Board after reasonable inquiry, all questions arising under this ARTICLE VIII, including, without limitation (1) whether a person is a Disqualified Holder, (2) whether a Disqualified Holder has disposed of Securities pursuant to paragraph (A) of this ARTICLE VIII and (3) the amount of Securities held directly or indirectly by any person. Any such determination shall be binding and conclusive on all such persons.</w:t>
      </w:r>
    </w:p>
    <w:p>
      <w:pPr>
        <w:spacing w:after="0" w:line="124" w:lineRule="exact"/>
        <w:rPr>
          <w:rFonts w:ascii="Times New Roman" w:cs="Times New Roman" w:eastAsia="Times New Roman" w:hAnsi="Times New Roman"/>
          <w:sz w:val="22"/>
          <w:szCs w:val="22"/>
          <w:color w:val="auto"/>
        </w:rPr>
      </w:pPr>
    </w:p>
    <w:p>
      <w:pPr>
        <w:jc w:val="both"/>
        <w:ind w:right="220" w:firstLine="656"/>
        <w:spacing w:after="0" w:line="244" w:lineRule="auto"/>
        <w:tabs>
          <w:tab w:leader="none" w:pos="100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be entitled to injunctive relief in any court of competent jurisdiction to enforce the provisions of this ARTICLE VIII, and each holder of Securities of the Corporation shall be deemed to have acknowledged by acquiring or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53" w:name="page54"/>
    <w:bookmarkEnd w:id="53"/>
    <w:p>
      <w:pPr>
        <w:ind w:right="40"/>
        <w:spacing w:after="0" w:line="246" w:lineRule="auto"/>
        <w:rPr>
          <w:sz w:val="20"/>
          <w:szCs w:val="20"/>
          <w:color w:val="auto"/>
        </w:rPr>
      </w:pPr>
      <w:r>
        <w:rPr>
          <w:rFonts w:ascii="Times New Roman" w:cs="Times New Roman" w:eastAsia="Times New Roman" w:hAnsi="Times New Roman"/>
          <w:sz w:val="21"/>
          <w:szCs w:val="21"/>
          <w:color w:val="auto"/>
        </w:rPr>
        <w:t>Securities of the Corporation that failure to comply with this ARTICLE VIII will expose the Corporation to irreparable injury for which there is no adequate remedy at law and that the Corporation is entitled to injunctive relief to enforce the provisions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VIII.</w:t>
      </w:r>
    </w:p>
    <w:p>
      <w:pPr>
        <w:spacing w:after="0" w:line="142" w:lineRule="exact"/>
        <w:rPr>
          <w:sz w:val="20"/>
          <w:szCs w:val="20"/>
          <w:color w:val="auto"/>
        </w:rPr>
      </w:pPr>
    </w:p>
    <w:p>
      <w:pPr>
        <w:ind w:firstLine="656"/>
        <w:spacing w:after="0" w:line="238" w:lineRule="auto"/>
        <w:tabs>
          <w:tab w:leader="none" w:pos="100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Disqualified Holder shall indemnify the Corporation and its Affiliates for any and all direct or indirect costs, including attorneys’ fees, incurred by the Corporation or any of its Affiliates as a result of such person’s continuing ownership of, or failure to divest, the Securities.</w:t>
      </w:r>
    </w:p>
    <w:p>
      <w:pPr>
        <w:spacing w:after="0" w:line="138" w:lineRule="exact"/>
        <w:rPr>
          <w:rFonts w:ascii="Times New Roman" w:cs="Times New Roman" w:eastAsia="Times New Roman" w:hAnsi="Times New Roman"/>
          <w:sz w:val="22"/>
          <w:szCs w:val="22"/>
          <w:color w:val="auto"/>
        </w:rPr>
      </w:pPr>
    </w:p>
    <w:p>
      <w:pPr>
        <w:jc w:val="both"/>
        <w:ind w:right="440" w:firstLine="656"/>
        <w:spacing w:after="0" w:line="244" w:lineRule="auto"/>
        <w:tabs>
          <w:tab w:leader="none" w:pos="9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to whom a redemption notice is given pursuant to the provisions of this ARTICLE VIII shall have the burden of establishing to the satisfaction of the Corporation the dates on which and the Purchase Price at which such person acquired the Securities subject to such notice.</w:t>
      </w:r>
    </w:p>
    <w:p>
      <w:pPr>
        <w:spacing w:after="0" w:line="119" w:lineRule="exact"/>
        <w:rPr>
          <w:rFonts w:ascii="Times New Roman" w:cs="Times New Roman" w:eastAsia="Times New Roman" w:hAnsi="Times New Roman"/>
          <w:sz w:val="22"/>
          <w:szCs w:val="22"/>
          <w:color w:val="auto"/>
        </w:rPr>
      </w:pPr>
    </w:p>
    <w:p>
      <w:pPr>
        <w:ind w:firstLine="656"/>
        <w:spacing w:after="0" w:line="232" w:lineRule="auto"/>
        <w:tabs>
          <w:tab w:leader="none" w:pos="93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the Corporation to redeem Securities pursuant to this ARTICLE VIII shall not be exclusive of any other rights the Corporation or any of its Affiliates may have or hereafter acquire under any agreement, provision of the bylaws of the Corporation or such Affiliate or otherwise. Nothing in this ARTICLE VIII shall be construed to: (i) relieve any Disqualified Holder (or any Affiliate thereof) from any fiduciary obligation imposed by law, (ii) prohibit or affect any contractual arrangement which the Corporation may make from time to time with any holder of Securities to purchase all or any part of any other securities held by such holder or (iii) be in derogation of any action, past or future, which has been or may be taken by the Board of Directors or any holder of Securities with respect to the subject matter of this ARTICLE VIII.</w:t>
      </w:r>
    </w:p>
    <w:p>
      <w:pPr>
        <w:spacing w:after="0" w:line="137" w:lineRule="exact"/>
        <w:rPr>
          <w:rFonts w:ascii="Times New Roman" w:cs="Times New Roman" w:eastAsia="Times New Roman" w:hAnsi="Times New Roman"/>
          <w:sz w:val="22"/>
          <w:szCs w:val="22"/>
          <w:color w:val="auto"/>
        </w:rPr>
      </w:pPr>
    </w:p>
    <w:p>
      <w:pPr>
        <w:jc w:val="both"/>
        <w:ind w:right="100" w:firstLine="656"/>
        <w:spacing w:after="0" w:line="238" w:lineRule="auto"/>
        <w:tabs>
          <w:tab w:leader="none" w:pos="100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ARTICLE VIII shall limit the authority of the Board of Directors to take such other action, to the extent not prohibited by law, as it deems necessary or advisable to protect the Corporation or any of its Affiliates from the denial or loss or threatened denial or loss of any Gaming License.</w:t>
      </w:r>
    </w:p>
    <w:p>
      <w:pPr>
        <w:spacing w:after="0" w:line="138" w:lineRule="exact"/>
        <w:rPr>
          <w:rFonts w:ascii="Times New Roman" w:cs="Times New Roman" w:eastAsia="Times New Roman" w:hAnsi="Times New Roman"/>
          <w:sz w:val="22"/>
          <w:szCs w:val="22"/>
          <w:color w:val="auto"/>
        </w:rPr>
      </w:pPr>
    </w:p>
    <w:p>
      <w:pPr>
        <w:ind w:right="200" w:firstLine="656"/>
        <w:spacing w:after="0" w:line="230" w:lineRule="auto"/>
        <w:tabs>
          <w:tab w:leader="none" w:pos="97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ARTICLE VIII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VIII. Except as may be required by any applicable Gaming Law or Gaming Authority, the Board of Directors may waive any of the rights of the Corporation or any restrictions contained in this ARTICLE VIII in any instance in which and to the extent the Board of Directors determines that a waiver would be in the best interests of the Corporation. Except as required by a Gaming Authority, nothing in this ARTICLE VIII shall be deemed or construed to require the Corporation to redeem or repurchase any Securities owned or controlled by a Disqualified Holder or any Affiliate thereof.</w:t>
      </w:r>
    </w:p>
    <w:p>
      <w:pPr>
        <w:spacing w:after="0" w:line="13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ARTICLE VIII:</w:t>
      </w:r>
    </w:p>
    <w:p>
      <w:pPr>
        <w:spacing w:after="0" w:line="166" w:lineRule="exact"/>
        <w:rPr>
          <w:sz w:val="20"/>
          <w:szCs w:val="20"/>
          <w:color w:val="auto"/>
        </w:rPr>
      </w:pPr>
    </w:p>
    <w:p>
      <w:pPr>
        <w:ind w:right="40" w:firstLine="656"/>
        <w:spacing w:after="0" w:line="238" w:lineRule="auto"/>
        <w:tabs>
          <w:tab w:leader="none" w:pos="95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 person that directly, or indirectly through one or more intermediaries, controls, or is controlled by, or is under common control with, the person specified (including any direct or indirect subsidiary of such person).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08" w:right="379" w:bottom="1440" w:gutter="0" w:footer="0" w:header="0"/>
        </w:sectPr>
      </w:pPr>
    </w:p>
    <w:bookmarkStart w:id="54" w:name="page55"/>
    <w:bookmarkEnd w:id="54"/>
    <w:p>
      <w:pPr>
        <w:jc w:val="both"/>
        <w:ind w:right="60"/>
        <w:spacing w:after="0" w:line="244" w:lineRule="auto"/>
        <w:rPr>
          <w:sz w:val="20"/>
          <w:szCs w:val="20"/>
          <w:color w:val="auto"/>
        </w:rPr>
      </w:pPr>
      <w:r>
        <w:rPr>
          <w:rFonts w:ascii="Times New Roman" w:cs="Times New Roman" w:eastAsia="Times New Roman" w:hAnsi="Times New Roman"/>
          <w:sz w:val="21"/>
          <w:szCs w:val="21"/>
          <w:color w:val="auto"/>
        </w:rPr>
        <w:t>definition, “control” (including, with correlative meanings, the terms “controlling,” “controlled by” and “under common control with”), as used with respect to a person, means the possession, directly or indirectly, of the power to direct or cause the direction of the management or policies of such person, whether through the ownership of voting securities, by agreement or otherwise.</w:t>
      </w:r>
    </w:p>
    <w:p>
      <w:pPr>
        <w:spacing w:after="0" w:line="3"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2"/>
          <w:szCs w:val="22"/>
          <w:color w:val="auto"/>
        </w:rPr>
        <w:t>For purposes of this ARTICLE VIII, the term “Affiliate” shall also include any joint venture, minority-owned entity or other enterprise in which the Corporation or any of its Affiliates has any direct or indirect interest.</w:t>
      </w:r>
    </w:p>
    <w:p>
      <w:pPr>
        <w:spacing w:after="0" w:line="124" w:lineRule="exact"/>
        <w:rPr>
          <w:sz w:val="20"/>
          <w:szCs w:val="20"/>
          <w:color w:val="auto"/>
        </w:rPr>
      </w:pPr>
    </w:p>
    <w:p>
      <w:pPr>
        <w:ind w:firstLine="656"/>
        <w:spacing w:after="0" w:line="229"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Holder</w:t>
      </w:r>
      <w:r>
        <w:rPr>
          <w:rFonts w:ascii="Times New Roman" w:cs="Times New Roman" w:eastAsia="Times New Roman" w:hAnsi="Times New Roman"/>
          <w:sz w:val="22"/>
          <w:szCs w:val="22"/>
          <w:color w:val="auto"/>
        </w:rPr>
        <w:t>” means any record or beneficial holder of the Corporation’s Securities: (i) who is requested or required pursuant to any Gaming Law to appear before, or submit to the jurisdiction of, or file an application with, or provide information to, any Gaming Authority and either refuses to do so or otherwise fails to comply with such request or requirement within a reasonable period of time, (ii) who has withdrawn or requested the withdrawal of a pending application for any Gaming License from any Gaming Authority in anticipation of such person being denied such Gaming License or receiving such Gaming License subject to materially burdensome or unacceptable terms or conditions, (iii) who is determined or shall have been determined by any Gaming Authority not to be suitable or qualified with respect to owning or controlling Securities or securities of an Affiliate of the Corporation, or (iv) whose ownership or control of Securities may result, in the judgment of the Board of Directors, in the failure of the Corporation or any of its Affiliates to obtain, maintain, retain, renew or qualify for a Gaming License, or cause or otherwise result in the imposition of any materially burdensome or unacceptable terms or conditions on any Gaming License.</w:t>
      </w:r>
    </w:p>
    <w:p>
      <w:pPr>
        <w:spacing w:after="0" w:line="139" w:lineRule="exact"/>
        <w:rPr>
          <w:rFonts w:ascii="Times New Roman" w:cs="Times New Roman" w:eastAsia="Times New Roman" w:hAnsi="Times New Roman"/>
          <w:sz w:val="22"/>
          <w:szCs w:val="22"/>
          <w:color w:val="auto"/>
        </w:rPr>
      </w:pPr>
    </w:p>
    <w:p>
      <w:pPr>
        <w:ind w:right="40" w:firstLine="656"/>
        <w:spacing w:after="0" w:line="232"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Authority</w:t>
      </w:r>
      <w:r>
        <w:rPr>
          <w:rFonts w:ascii="Times New Roman" w:cs="Times New Roman" w:eastAsia="Times New Roman" w:hAnsi="Times New Roman"/>
          <w:sz w:val="22"/>
          <w:szCs w:val="22"/>
          <w:color w:val="auto"/>
        </w:rPr>
        <w:t>” means any government, court, or federal, state, provincial, local, international, tribal or foreign governmental, administrative or regulatory or licensing body, agency, authority or official, which regulates or has authority over, including, without limitation, the right to issue or grant a license, contract, franchise, permit, registration, finding of suitability, exemption, waiver or other regulatory approval, any form of gaming or related activities conducted or proposed to be conducted by the Corporation or any of its Affiliates in any jurisdiction, including, without limitation, lottery, pari mutuel wagering, sports wagering and video gaming activities.</w:t>
      </w:r>
    </w:p>
    <w:p>
      <w:pPr>
        <w:spacing w:after="0" w:line="139" w:lineRule="exact"/>
        <w:rPr>
          <w:rFonts w:ascii="Times New Roman" w:cs="Times New Roman" w:eastAsia="Times New Roman" w:hAnsi="Times New Roman"/>
          <w:sz w:val="22"/>
          <w:szCs w:val="22"/>
          <w:color w:val="auto"/>
        </w:rPr>
      </w:pPr>
    </w:p>
    <w:p>
      <w:pPr>
        <w:ind w:right="480" w:firstLine="656"/>
        <w:spacing w:after="0" w:line="238"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Gaming Law</w:t>
      </w:r>
      <w:r>
        <w:rPr>
          <w:rFonts w:ascii="Times New Roman" w:cs="Times New Roman" w:eastAsia="Times New Roman" w:hAnsi="Times New Roman"/>
          <w:sz w:val="22"/>
          <w:szCs w:val="22"/>
          <w:color w:val="auto"/>
        </w:rPr>
        <w:t>” means any federal, state, provincial, local, international, tribal or foreign law, statute, order, rule, regulation, decree, ordinance or interpretation pursuant to which any Gaming Authority possesses or asserts regulatory or licensing authority over the ownership, operation, management or conduct of gaming and related activities.</w:t>
      </w:r>
    </w:p>
    <w:p>
      <w:pPr>
        <w:spacing w:after="0" w:line="13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firm, corporation, limited liability company, trust or other entity.</w:t>
      </w:r>
    </w:p>
    <w:p>
      <w:pPr>
        <w:spacing w:after="0" w:line="165" w:lineRule="exact"/>
        <w:rPr>
          <w:rFonts w:ascii="Times New Roman" w:cs="Times New Roman" w:eastAsia="Times New Roman" w:hAnsi="Times New Roman"/>
          <w:sz w:val="22"/>
          <w:szCs w:val="22"/>
          <w:color w:val="auto"/>
        </w:rPr>
      </w:pPr>
    </w:p>
    <w:p>
      <w:pPr>
        <w:ind w:right="540" w:firstLine="656"/>
        <w:spacing w:after="0" w:line="258" w:lineRule="auto"/>
        <w:tabs>
          <w:tab w:leader="none" w:pos="9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the price paid to acquire a Security, exclusive of commissions, taxes and other fees and expenses, adjusted for any stock split, stock dividend, combination of shares or similar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60"/>
          </w:cols>
          <w:pgMar w:left="320" w:top="1408" w:right="419" w:bottom="1440" w:gutter="0" w:footer="0" w:header="0"/>
        </w:sectPr>
      </w:pPr>
    </w:p>
    <w:bookmarkStart w:id="55" w:name="page56"/>
    <w:bookmarkEnd w:id="55"/>
    <w:p>
      <w:pPr>
        <w:ind w:right="80" w:firstLine="656"/>
        <w:spacing w:after="0" w:line="230" w:lineRule="auto"/>
        <w:tabs>
          <w:tab w:leader="none" w:pos="95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Price</w:t>
      </w:r>
      <w:r>
        <w:rPr>
          <w:rFonts w:ascii="Times New Roman" w:cs="Times New Roman" w:eastAsia="Times New Roman" w:hAnsi="Times New Roman"/>
          <w:sz w:val="22"/>
          <w:szCs w:val="22"/>
          <w:color w:val="auto"/>
        </w:rPr>
        <w:t>” means, with respect to any Securities, the price equal to the lesser of (1) the average closing sale price of such Securities as reported for composite transactions in securities listed on the principal trading market on which such Securities are then listed or admitted for trading during the 30 trading days preceding the Notice Date, or, if such Securities are not so listed or traded, the fair value of the Securities as determined by the Board of Directors in good faith and in consideration of such records of the Corporation and information, opinions, reports or statements presented to the Board of Directors by any of the Corporation’s officers, employees or financial advisors, or committees of the Board of Directors (including, without limitation, information, opinions, reports or statements regarding any discount for lack of marketability or otherwise), as the Board of Directors deems, in its sole discretion, to be relevant and pertinent to such determination, and (2) the original Purchase Price.</w:t>
      </w:r>
    </w:p>
    <w:p>
      <w:pPr>
        <w:spacing w:after="0" w:line="140" w:lineRule="exact"/>
        <w:rPr>
          <w:rFonts w:ascii="Times New Roman" w:cs="Times New Roman" w:eastAsia="Times New Roman" w:hAnsi="Times New Roman"/>
          <w:sz w:val="22"/>
          <w:szCs w:val="22"/>
          <w:color w:val="auto"/>
        </w:rPr>
      </w:pPr>
    </w:p>
    <w:p>
      <w:pPr>
        <w:ind w:firstLine="656"/>
        <w:spacing w:after="0" w:line="268" w:lineRule="auto"/>
        <w:tabs>
          <w:tab w:leader="none" w:pos="95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means any shares of capital stock, bonds, notes, convertible debentures, warrants or other instruments that represent a share in the equity of the Corporation, a debt owed by the Corporation or the right to acquire any of the foregoing.</w:t>
      </w:r>
    </w:p>
    <w:p>
      <w:pPr>
        <w:spacing w:after="0" w:line="1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1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2"/>
          <w:szCs w:val="22"/>
          <w:u w:val="single" w:color="auto"/>
          <w:color w:val="auto"/>
        </w:rPr>
        <w:t>SPECIAL PROVISIONS REGARDING DISTRIBUTIONS</w:t>
      </w:r>
    </w:p>
    <w:p>
      <w:pPr>
        <w:spacing w:after="0" w:line="142" w:lineRule="exact"/>
        <w:rPr>
          <w:sz w:val="20"/>
          <w:szCs w:val="20"/>
          <w:color w:val="auto"/>
        </w:rPr>
      </w:pPr>
    </w:p>
    <w:p>
      <w:pPr>
        <w:ind w:right="520" w:firstLine="648"/>
        <w:spacing w:after="0" w:line="245" w:lineRule="auto"/>
        <w:rPr>
          <w:sz w:val="20"/>
          <w:szCs w:val="20"/>
          <w:color w:val="auto"/>
        </w:rPr>
      </w:pPr>
      <w:r>
        <w:rPr>
          <w:rFonts w:ascii="Times New Roman" w:cs="Times New Roman" w:eastAsia="Times New Roman" w:hAnsi="Times New Roman"/>
          <w:sz w:val="22"/>
          <w:szCs w:val="22"/>
          <w:color w:val="auto"/>
        </w:rPr>
        <w:t>Notwithstanding anything to the contrary in these Articles of Incorporation or the Bylaws, the Corporation is hereby specifically allowed to make any distribution that otherwise would be prohibited by NRS 78.288(2)(b).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08" w:right="359" w:bottom="1440" w:gutter="0" w:footer="0" w:header="0"/>
        </w:sectPr>
      </w:pPr>
    </w:p>
    <w:bookmarkStart w:id="56" w:name="page57"/>
    <w:bookmarkEnd w:id="56"/>
    <w:p>
      <w:pPr>
        <w:ind w:left="9960"/>
        <w:spacing w:after="0"/>
        <w:rPr>
          <w:sz w:val="20"/>
          <w:szCs w:val="20"/>
          <w:color w:val="auto"/>
        </w:rPr>
      </w:pPr>
      <w:r>
        <w:rPr>
          <w:rFonts w:ascii="Times New Roman" w:cs="Times New Roman" w:eastAsia="Times New Roman" w:hAnsi="Times New Roman"/>
          <w:sz w:val="21"/>
          <w:szCs w:val="21"/>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DESIGNATION</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b w:val="1"/>
          <w:bCs w:val="1"/>
          <w:color w:val="auto"/>
        </w:rPr>
        <w:t>of</w:t>
      </w:r>
    </w:p>
    <w:p>
      <w:pPr>
        <w:ind w:left="3380"/>
        <w:spacing w:after="0" w:line="217" w:lineRule="auto"/>
        <w:rPr>
          <w:sz w:val="20"/>
          <w:szCs w:val="20"/>
          <w:color w:val="auto"/>
        </w:rPr>
      </w:pPr>
      <w:r>
        <w:rPr>
          <w:rFonts w:ascii="Times New Roman" w:cs="Times New Roman" w:eastAsia="Times New Roman" w:hAnsi="Times New Roman"/>
          <w:sz w:val="22"/>
          <w:szCs w:val="22"/>
          <w:b w:val="1"/>
          <w:bCs w:val="1"/>
          <w:color w:val="auto"/>
        </w:rPr>
        <w:t>SERIES A JUNIOR PARTICIPATING PREFERRED STOCK</w:t>
      </w:r>
    </w:p>
    <w:p>
      <w:pPr>
        <w:jc w:val="center"/>
        <w:ind w:left="1280"/>
        <w:spacing w:after="0" w:line="231" w:lineRule="auto"/>
        <w:rPr>
          <w:sz w:val="20"/>
          <w:szCs w:val="20"/>
          <w:color w:val="auto"/>
        </w:rPr>
      </w:pPr>
      <w:r>
        <w:rPr>
          <w:rFonts w:ascii="Times New Roman" w:cs="Times New Roman" w:eastAsia="Times New Roman" w:hAnsi="Times New Roman"/>
          <w:sz w:val="22"/>
          <w:szCs w:val="22"/>
          <w:b w:val="1"/>
          <w:bCs w:val="1"/>
          <w:color w:val="auto"/>
        </w:rPr>
        <w:t>of</w:t>
      </w:r>
    </w:p>
    <w:p>
      <w:pPr>
        <w:jc w:val="center"/>
        <w:ind w:left="1280"/>
        <w:spacing w:after="0"/>
        <w:rPr>
          <w:sz w:val="20"/>
          <w:szCs w:val="20"/>
          <w:color w:val="auto"/>
        </w:rPr>
      </w:pPr>
      <w:r>
        <w:rPr>
          <w:rFonts w:ascii="Times New Roman" w:cs="Times New Roman" w:eastAsia="Times New Roman" w:hAnsi="Times New Roman"/>
          <w:sz w:val="22"/>
          <w:szCs w:val="22"/>
          <w:b w:val="1"/>
          <w:bCs w:val="1"/>
          <w:color w:val="auto"/>
        </w:rPr>
        <w:t>LIGHT &amp; WONDER, INC.</w:t>
      </w:r>
    </w:p>
    <w:p>
      <w:pPr>
        <w:spacing w:after="0" w:line="142"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22"/>
          <w:szCs w:val="22"/>
          <w:color w:val="auto"/>
        </w:rPr>
        <w:t>(Pursuant to Section 78.1955(2) of the Nevada Revised Statutes)</w:t>
      </w:r>
    </w:p>
    <w:p>
      <w:pPr>
        <w:spacing w:after="0" w:line="24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Pursuant to the authority vested in the Board of Directors (the “</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of Light &amp; Wonder, Inc., a corporation organized and existing under the laws of the State of Nevada (the “</w:t>
      </w:r>
      <w:r>
        <w:rPr>
          <w:rFonts w:ascii="Times New Roman" w:cs="Times New Roman" w:eastAsia="Times New Roman" w:hAnsi="Times New Roman"/>
          <w:sz w:val="22"/>
          <w:szCs w:val="22"/>
          <w:i w:val="1"/>
          <w:iCs w:val="1"/>
          <w:color w:val="auto"/>
        </w:rPr>
        <w:t>Corporation</w:t>
      </w:r>
      <w:r>
        <w:rPr>
          <w:rFonts w:ascii="Times New Roman" w:cs="Times New Roman" w:eastAsia="Times New Roman" w:hAnsi="Times New Roman"/>
          <w:sz w:val="22"/>
          <w:szCs w:val="22"/>
          <w:color w:val="auto"/>
        </w:rPr>
        <w:t>”), by the provisions of Nevada Revised Statutes (“</w:t>
      </w:r>
      <w:r>
        <w:rPr>
          <w:rFonts w:ascii="Times New Roman" w:cs="Times New Roman" w:eastAsia="Times New Roman" w:hAnsi="Times New Roman"/>
          <w:sz w:val="22"/>
          <w:szCs w:val="22"/>
          <w:i w:val="1"/>
          <w:iCs w:val="1"/>
          <w:color w:val="auto"/>
        </w:rPr>
        <w:t>NRS</w:t>
      </w:r>
      <w:r>
        <w:rPr>
          <w:rFonts w:ascii="Times New Roman" w:cs="Times New Roman" w:eastAsia="Times New Roman" w:hAnsi="Times New Roman"/>
          <w:sz w:val="22"/>
          <w:szCs w:val="22"/>
          <w:color w:val="auto"/>
        </w:rPr>
        <w:t>”) 78.1955(2) and the Restated Articles of Incorporation of the Corporation, as filed with the Nevada Secretary of State on the date hereof (as may be amended and/or restated from time to time, the “</w:t>
      </w:r>
      <w:r>
        <w:rPr>
          <w:rFonts w:ascii="Times New Roman" w:cs="Times New Roman" w:eastAsia="Times New Roman" w:hAnsi="Times New Roman"/>
          <w:sz w:val="22"/>
          <w:szCs w:val="22"/>
          <w:i w:val="1"/>
          <w:iCs w:val="1"/>
          <w:color w:val="auto"/>
        </w:rPr>
        <w:t>Articles of Incorporation</w:t>
      </w:r>
      <w:r>
        <w:rPr>
          <w:rFonts w:ascii="Times New Roman" w:cs="Times New Roman" w:eastAsia="Times New Roman" w:hAnsi="Times New Roman"/>
          <w:sz w:val="22"/>
          <w:szCs w:val="22"/>
          <w:color w:val="auto"/>
        </w:rPr>
        <w:t>”), the Board of Directors adopted the following resolution:</w:t>
      </w:r>
    </w:p>
    <w:p>
      <w:pPr>
        <w:spacing w:after="0" w:line="133" w:lineRule="exact"/>
        <w:rPr>
          <w:sz w:val="20"/>
          <w:szCs w:val="20"/>
          <w:color w:val="auto"/>
        </w:rPr>
      </w:pPr>
    </w:p>
    <w:p>
      <w:pPr>
        <w:jc w:val="both"/>
        <w:ind w:left="660" w:right="660" w:firstLine="648"/>
        <w:spacing w:after="0" w:line="242" w:lineRule="auto"/>
        <w:rPr>
          <w:sz w:val="20"/>
          <w:szCs w:val="20"/>
          <w:color w:val="auto"/>
        </w:rPr>
      </w:pPr>
      <w:r>
        <w:rPr>
          <w:rFonts w:ascii="Times New Roman" w:cs="Times New Roman" w:eastAsia="Times New Roman" w:hAnsi="Times New Roman"/>
          <w:sz w:val="21"/>
          <w:szCs w:val="21"/>
          <w:b w:val="1"/>
          <w:bCs w:val="1"/>
          <w:color w:val="auto"/>
        </w:rPr>
        <w:t>RESOLVED</w:t>
      </w:r>
      <w:r>
        <w:rPr>
          <w:rFonts w:ascii="Times New Roman" w:cs="Times New Roman" w:eastAsia="Times New Roman" w:hAnsi="Times New Roman"/>
          <w:sz w:val="21"/>
          <w:szCs w:val="21"/>
          <w:color w:val="auto"/>
        </w:rPr>
        <w:t>, that pursuant to the authority vested in the Board of Directors by the Articles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Incorporation and by the provisions of NRS 78.1955(2), the Board of Directors hereby amends and restates the Certificate of Designation establishing a series of preferred stock, par value $0.001 per share, of the Corporation, to reflect the Corporation’s name change, and hereby sets forth the powers, designations, preferences and relative, participating, optional and other special rights, and the qualifications, limitations and restrictions thereof, of such series of preferred stock and the number of shares of such series (in addition to any provisions set forth in the Articles of Incorporation applicable to the preferred stock of all series), as set forth as follows:</w:t>
      </w:r>
    </w:p>
    <w:p>
      <w:pPr>
        <w:spacing w:after="0" w:line="2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u w:val="single" w:color="auto"/>
          <w:color w:val="auto"/>
        </w:rPr>
        <w:t>Series A Junior Participating Preferred Stock</w:t>
      </w:r>
    </w:p>
    <w:p>
      <w:pPr>
        <w:spacing w:after="0" w:line="247" w:lineRule="exact"/>
        <w:rPr>
          <w:sz w:val="20"/>
          <w:szCs w:val="20"/>
          <w:color w:val="auto"/>
        </w:rPr>
      </w:pPr>
    </w:p>
    <w:p>
      <w:pPr>
        <w:jc w:val="both"/>
        <w:ind w:firstLine="1304"/>
        <w:spacing w:after="0" w:line="233" w:lineRule="auto"/>
        <w:tabs>
          <w:tab w:leader="none" w:pos="168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Designation and Amount. </w:t>
      </w:r>
      <w:r>
        <w:rPr>
          <w:rFonts w:ascii="Times New Roman" w:cs="Times New Roman" w:eastAsia="Times New Roman" w:hAnsi="Times New Roman"/>
          <w:sz w:val="22"/>
          <w:szCs w:val="22"/>
          <w:color w:val="auto"/>
        </w:rPr>
        <w:t>There shall be a series of preferred stock, par value $0.001, of the Corporation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Preferred Stock</w:t>
      </w:r>
      <w:r>
        <w:rPr>
          <w:rFonts w:ascii="Times New Roman" w:cs="Times New Roman" w:eastAsia="Times New Roman" w:hAnsi="Times New Roman"/>
          <w:sz w:val="22"/>
          <w:szCs w:val="22"/>
          <w:color w:val="auto"/>
        </w:rPr>
        <w:t xml:space="preserve">”) that shall be designated as “Series A Junior Participating Preferred Stock,” and the number of shares constituting such series shall be 20,000. Such number of shares may be increased or decreased by resolution of the Board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132"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Dividends and Distributions.</w:t>
      </w:r>
    </w:p>
    <w:p>
      <w:pPr>
        <w:spacing w:after="0" w:line="169" w:lineRule="exact"/>
        <w:rPr>
          <w:rFonts w:ascii="Times New Roman" w:cs="Times New Roman" w:eastAsia="Times New Roman" w:hAnsi="Times New Roman"/>
          <w:sz w:val="22"/>
          <w:szCs w:val="22"/>
          <w:color w:val="auto"/>
        </w:rPr>
      </w:pPr>
    </w:p>
    <w:p>
      <w:pPr>
        <w:jc w:val="both"/>
        <w:ind w:firstLine="1952"/>
        <w:spacing w:after="0" w:line="232" w:lineRule="auto"/>
        <w:tabs>
          <w:tab w:leader="none" w:pos="220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 purpose, quarterly dividends payable in cash on the last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1240"/>
          </w:cols>
          <w:pgMar w:left="320" w:top="135" w:right="339" w:bottom="1440" w:gutter="0" w:footer="0" w:header="0"/>
        </w:sectPr>
      </w:pPr>
    </w:p>
    <w:bookmarkStart w:id="57" w:name="page58"/>
    <w:bookmarkEnd w:id="57"/>
    <w:p>
      <w:pPr>
        <w:jc w:val="both"/>
        <w:spacing w:after="0" w:line="239" w:lineRule="auto"/>
        <w:rPr>
          <w:sz w:val="20"/>
          <w:szCs w:val="20"/>
          <w:color w:val="auto"/>
        </w:rPr>
      </w:pPr>
      <w:r>
        <w:rPr>
          <w:rFonts w:ascii="Times New Roman" w:cs="Times New Roman" w:eastAsia="Times New Roman" w:hAnsi="Times New Roman"/>
          <w:sz w:val="21"/>
          <w:szCs w:val="21"/>
          <w:color w:val="auto"/>
        </w:rPr>
        <w:t>March, June, September and December in each year (each such date being referred to herein as a “</w:t>
      </w:r>
      <w:r>
        <w:rPr>
          <w:rFonts w:ascii="Times New Roman" w:cs="Times New Roman" w:eastAsia="Times New Roman" w:hAnsi="Times New Roman"/>
          <w:sz w:val="21"/>
          <w:szCs w:val="21"/>
          <w:i w:val="1"/>
          <w:iCs w:val="1"/>
          <w:color w:val="auto"/>
        </w:rPr>
        <w:t>Quarterly Dividend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Date</w:t>
      </w:r>
      <w:r>
        <w:rPr>
          <w:rFonts w:ascii="Times New Roman" w:cs="Times New Roman" w:eastAsia="Times New Roman" w:hAnsi="Times New Roman"/>
          <w:sz w:val="21"/>
          <w:szCs w:val="21"/>
          <w:color w:val="auto"/>
        </w:rPr>
        <w:t>”), commencing on the first Quarterly Dividend Payment Date after the first issuance of a share or fraction of a share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Series A Junior Participating Preferred Stock, in an amount per share (rounded to the nearest cent) equal to the greater of (a) $10.00 and (b) the sum of (1) the Adjustment Number (as defined below) times the aggregate per share amount of all cash dividends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the Adjustment Number times the aggregate per share amount (payable in kind) of all non-cash dividends or other distributions other than a dividend payable in shares of Common Stock, par value $0.001 per share, of the Corporation (the “</w:t>
      </w:r>
      <w:r>
        <w:rPr>
          <w:rFonts w:ascii="Times New Roman" w:cs="Times New Roman" w:eastAsia="Times New Roman" w:hAnsi="Times New Roman"/>
          <w:sz w:val="21"/>
          <w:szCs w:val="21"/>
          <w:i w:val="1"/>
          <w:iCs w:val="1"/>
          <w:color w:val="auto"/>
        </w:rPr>
        <w:t>Common Stock</w:t>
      </w:r>
      <w:r>
        <w:rPr>
          <w:rFonts w:ascii="Times New Roman" w:cs="Times New Roman" w:eastAsia="Times New Roman" w:hAnsi="Times New Roman"/>
          <w:sz w:val="21"/>
          <w:szCs w:val="21"/>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Times New Roman" w:cs="Times New Roman" w:eastAsia="Times New Roman" w:hAnsi="Times New Roman"/>
          <w:sz w:val="21"/>
          <w:szCs w:val="21"/>
          <w:i w:val="1"/>
          <w:iCs w:val="1"/>
          <w:color w:val="auto"/>
        </w:rPr>
        <w:t>Adjustment Number</w:t>
      </w:r>
      <w:r>
        <w:rPr>
          <w:rFonts w:ascii="Times New Roman" w:cs="Times New Roman" w:eastAsia="Times New Roman" w:hAnsi="Times New Roman"/>
          <w:sz w:val="21"/>
          <w:szCs w:val="21"/>
          <w:color w:val="auto"/>
        </w:rPr>
        <w:t>” shall initially be 10,000. In the event the Corporation shall at any time after January 10, 2018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6" w:lineRule="exact"/>
        <w:rPr>
          <w:sz w:val="20"/>
          <w:szCs w:val="20"/>
          <w:color w:val="auto"/>
        </w:rPr>
      </w:pPr>
    </w:p>
    <w:p>
      <w:pPr>
        <w:jc w:val="both"/>
        <w:ind w:firstLine="1952"/>
        <w:spacing w:after="0" w:line="244" w:lineRule="auto"/>
        <w:tabs>
          <w:tab w:leader="none" w:pos="226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119" w:lineRule="exact"/>
        <w:rPr>
          <w:rFonts w:ascii="Times New Roman" w:cs="Times New Roman" w:eastAsia="Times New Roman" w:hAnsi="Times New Roman"/>
          <w:sz w:val="22"/>
          <w:szCs w:val="22"/>
          <w:color w:val="auto"/>
        </w:rPr>
      </w:pPr>
    </w:p>
    <w:p>
      <w:pPr>
        <w:jc w:val="both"/>
        <w:ind w:firstLine="1952"/>
        <w:spacing w:after="0" w:line="229" w:lineRule="auto"/>
        <w:tabs>
          <w:tab w:leader="none" w:pos="237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sixty (60) days prior to the date fixed for the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58" w:name="page59"/>
    <w:bookmarkEnd w:id="58"/>
    <w:p>
      <w:pPr>
        <w:ind w:left="1700" w:hanging="396"/>
        <w:spacing w:after="0"/>
        <w:tabs>
          <w:tab w:leader="none" w:pos="17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Voting Rights. </w:t>
      </w:r>
      <w:r>
        <w:rPr>
          <w:rFonts w:ascii="Times New Roman" w:cs="Times New Roman" w:eastAsia="Times New Roman" w:hAnsi="Times New Roman"/>
          <w:sz w:val="21"/>
          <w:szCs w:val="21"/>
          <w:color w:val="auto"/>
        </w:rPr>
        <w:t>The holders of shares of Series A Junior Participating Preferred Stock shall have the following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rights:</w:t>
      </w:r>
    </w:p>
    <w:p>
      <w:pPr>
        <w:spacing w:after="0" w:line="142" w:lineRule="exact"/>
        <w:rPr>
          <w:sz w:val="20"/>
          <w:szCs w:val="20"/>
          <w:color w:val="auto"/>
        </w:rPr>
      </w:pPr>
    </w:p>
    <w:p>
      <w:pPr>
        <w:jc w:val="both"/>
        <w:ind w:firstLine="1952"/>
        <w:spacing w:after="0" w:line="232" w:lineRule="auto"/>
        <w:tabs>
          <w:tab w:leader="none" w:pos="220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Series A Junior Participating Preferred Stock shall entitle the holder thereof to a number of votes equal to the Adjustment Number on all matters submitted to a vote of the stockholders of the Corporation. Except as otherwise provided herein, in another certificate of designation authorizing a series of preferred stock, par value $0.001 per share, of the Corporation or as required by law, the holders of shares of Series A Junior Participating Preferred Stock and the holders of shares of Common Stock and any other capital stock of the Corporation having general voting rights shall vote together as one class on all matters submitted to a vote of the stockholders of the Corporation.</w:t>
      </w:r>
    </w:p>
    <w:p>
      <w:pPr>
        <w:spacing w:after="0" w:line="139" w:lineRule="exact"/>
        <w:rPr>
          <w:rFonts w:ascii="Times New Roman" w:cs="Times New Roman" w:eastAsia="Times New Roman" w:hAnsi="Times New Roman"/>
          <w:sz w:val="22"/>
          <w:szCs w:val="22"/>
          <w:color w:val="auto"/>
        </w:rPr>
      </w:pPr>
    </w:p>
    <w:p>
      <w:pPr>
        <w:jc w:val="both"/>
        <w:ind w:firstLine="1952"/>
        <w:spacing w:after="0" w:line="238" w:lineRule="auto"/>
        <w:tabs>
          <w:tab w:leader="none" w:pos="226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law, by the Articles of Incorporation and by Section 10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3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1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Restrictions. </w:t>
      </w:r>
      <w:r>
        <w:rPr>
          <w:rFonts w:ascii="Times New Roman" w:cs="Times New Roman" w:eastAsia="Times New Roman" w:hAnsi="Times New Roman"/>
          <w:sz w:val="22"/>
          <w:szCs w:val="22"/>
          <w:color w:val="auto"/>
        </w:rPr>
        <w:t>Whenever quarterly dividends or other dividends or distributions payable on the Series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37" w:lineRule="exact"/>
        <w:rPr>
          <w:rFonts w:ascii="Times New Roman" w:cs="Times New Roman" w:eastAsia="Times New Roman" w:hAnsi="Times New Roman"/>
          <w:sz w:val="22"/>
          <w:szCs w:val="22"/>
          <w:color w:val="auto"/>
        </w:rPr>
      </w:pPr>
    </w:p>
    <w:p>
      <w:pPr>
        <w:jc w:val="both"/>
        <w:ind w:left="660" w:firstLine="1292"/>
        <w:spacing w:after="0" w:line="229" w:lineRule="auto"/>
        <w:tabs>
          <w:tab w:leader="none" w:pos="22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w:t>
      </w:r>
    </w:p>
    <w:p>
      <w:pPr>
        <w:spacing w:after="0" w:line="139"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274"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59" w:name="page60"/>
    <w:bookmarkEnd w:id="59"/>
    <w:p>
      <w:pPr>
        <w:jc w:val="both"/>
        <w:ind w:left="660" w:firstLine="1292"/>
        <w:spacing w:after="0" w:line="232" w:lineRule="auto"/>
        <w:tabs>
          <w:tab w:leader="none" w:pos="234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37"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33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34" w:lineRule="exact"/>
        <w:rPr>
          <w:rFonts w:ascii="Times New Roman" w:cs="Times New Roman" w:eastAsia="Times New Roman" w:hAnsi="Times New Roman"/>
          <w:sz w:val="22"/>
          <w:szCs w:val="22"/>
          <w:color w:val="auto"/>
        </w:rPr>
      </w:pPr>
    </w:p>
    <w:p>
      <w:pPr>
        <w:jc w:val="both"/>
        <w:ind w:firstLine="1304"/>
        <w:spacing w:after="0" w:line="233" w:lineRule="auto"/>
        <w:tabs>
          <w:tab w:leader="none" w:pos="18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Reacquired Shares. </w:t>
      </w:r>
      <w:r>
        <w:rPr>
          <w:rFonts w:ascii="Times New Roman" w:cs="Times New Roman" w:eastAsia="Times New Roman" w:hAnsi="Times New Roman"/>
          <w:sz w:val="22"/>
          <w:szCs w:val="22"/>
          <w:color w:val="auto"/>
        </w:rPr>
        <w:t>Any shares of Series A Junior Participating Preferred Stock purchased or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by the Corporation in any 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35"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7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Liquidation, Dissolution or Winding Up. </w:t>
      </w:r>
      <w:r>
        <w:rPr>
          <w:rFonts w:ascii="Times New Roman" w:cs="Times New Roman" w:eastAsia="Times New Roman" w:hAnsi="Times New Roman"/>
          <w:sz w:val="22"/>
          <w:szCs w:val="22"/>
          <w:color w:val="auto"/>
        </w:rPr>
        <w:t>(A) Upon any liquidation, dissolution or winding up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 voluntary or 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Times New Roman" w:cs="Times New Roman" w:eastAsia="Times New Roman" w:hAnsi="Times New Roman"/>
          <w:sz w:val="22"/>
          <w:szCs w:val="22"/>
          <w:i w:val="1"/>
          <w:iCs w:val="1"/>
          <w:color w:val="auto"/>
        </w:rPr>
        <w:t>Series A Liquidation Preference</w:t>
      </w:r>
      <w:r>
        <w:rPr>
          <w:rFonts w:ascii="Times New Roman" w:cs="Times New Roman" w:eastAsia="Times New Roman" w:hAnsi="Times New Roman"/>
          <w:sz w:val="22"/>
          <w:szCs w:val="22"/>
          <w:color w:val="auto"/>
        </w:rPr>
        <w:t>”) equal to the greater of (i) $10.00 plus an amount equal to accrued and unpaid dividends and distributions thereon, whether or not declared, to the date of such payment, and (ii) the Adjustment Number times the per share amount of all cash and other property to be distributed in respect of the Common Stock upon such liquidation, dissolution or winding up of the Corporation.</w:t>
      </w:r>
    </w:p>
    <w:p>
      <w:pPr>
        <w:spacing w:after="0" w:line="143" w:lineRule="exact"/>
        <w:rPr>
          <w:rFonts w:ascii="Times New Roman" w:cs="Times New Roman" w:eastAsia="Times New Roman" w:hAnsi="Times New Roman"/>
          <w:sz w:val="22"/>
          <w:szCs w:val="22"/>
          <w:color w:val="auto"/>
        </w:rPr>
      </w:pPr>
    </w:p>
    <w:p>
      <w:pPr>
        <w:jc w:val="both"/>
        <w:ind w:firstLine="1952"/>
        <w:spacing w:after="0" w:line="232" w:lineRule="auto"/>
        <w:tabs>
          <w:tab w:leader="none" w:pos="222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4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27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28" w:lineRule="exact"/>
        <w:rPr>
          <w:rFonts w:ascii="Times New Roman" w:cs="Times New Roman" w:eastAsia="Times New Roman" w:hAnsi="Times New Roman"/>
          <w:sz w:val="22"/>
          <w:szCs w:val="22"/>
          <w:color w:val="auto"/>
        </w:rPr>
      </w:pPr>
    </w:p>
    <w:p>
      <w:pPr>
        <w:ind w:firstLine="1304"/>
        <w:spacing w:after="0" w:line="249" w:lineRule="auto"/>
        <w:tabs>
          <w:tab w:leader="none" w:pos="167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Consolidation, Merger, Etc. </w:t>
      </w:r>
      <w:r>
        <w:rPr>
          <w:rFonts w:ascii="Times New Roman" w:cs="Times New Roman" w:eastAsia="Times New Roman" w:hAnsi="Times New Roman"/>
          <w:sz w:val="22"/>
          <w:szCs w:val="22"/>
          <w:color w:val="auto"/>
        </w:rPr>
        <w:t>In case the Corporation shall enter into any consolidation, merger, combination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transaction in which the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60" w:name="page61"/>
    <w:bookmarkEnd w:id="60"/>
    <w:p>
      <w:pPr>
        <w:jc w:val="both"/>
        <w:spacing w:after="0" w:line="236" w:lineRule="auto"/>
        <w:rPr>
          <w:sz w:val="20"/>
          <w:szCs w:val="20"/>
          <w:color w:val="auto"/>
        </w:rPr>
      </w:pPr>
      <w:r>
        <w:rPr>
          <w:rFonts w:ascii="Times New Roman" w:cs="Times New Roman" w:eastAsia="Times New Roman" w:hAnsi="Times New Roman"/>
          <w:sz w:val="22"/>
          <w:szCs w:val="22"/>
          <w:color w:val="auto"/>
        </w:rPr>
        <w:t>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35" w:lineRule="exact"/>
        <w:rPr>
          <w:sz w:val="20"/>
          <w:szCs w:val="20"/>
          <w:color w:val="auto"/>
        </w:rPr>
      </w:pPr>
    </w:p>
    <w:p>
      <w:pPr>
        <w:ind w:left="1700" w:hanging="396"/>
        <w:spacing w:after="0"/>
        <w:tabs>
          <w:tab w:leader="none" w:pos="170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Redemption. </w:t>
      </w:r>
      <w:r>
        <w:rPr>
          <w:rFonts w:ascii="Times New Roman" w:cs="Times New Roman" w:eastAsia="Times New Roman" w:hAnsi="Times New Roman"/>
          <w:sz w:val="21"/>
          <w:szCs w:val="21"/>
          <w:color w:val="auto"/>
        </w:rPr>
        <w:t>Shares of Series A Junior Participating Preferred Stock shall not be subject to redemption by</w:t>
      </w:r>
    </w:p>
    <w:p>
      <w:pPr>
        <w:spacing w:after="0" w:line="1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Corporation.</w:t>
      </w:r>
    </w:p>
    <w:p>
      <w:pPr>
        <w:spacing w:after="0" w:line="137" w:lineRule="exact"/>
        <w:rPr>
          <w:rFonts w:ascii="Times New Roman" w:cs="Times New Roman" w:eastAsia="Times New Roman" w:hAnsi="Times New Roman"/>
          <w:sz w:val="21"/>
          <w:szCs w:val="21"/>
          <w:color w:val="auto"/>
        </w:rPr>
      </w:pPr>
    </w:p>
    <w:p>
      <w:pPr>
        <w:jc w:val="both"/>
        <w:ind w:firstLine="1304"/>
        <w:spacing w:after="0" w:line="237" w:lineRule="auto"/>
        <w:tabs>
          <w:tab w:leader="none" w:pos="170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Ranking. </w:t>
      </w:r>
      <w:r>
        <w:rPr>
          <w:rFonts w:ascii="Times New Roman" w:cs="Times New Roman" w:eastAsia="Times New Roman" w:hAnsi="Times New Roman"/>
          <w:sz w:val="22"/>
          <w:szCs w:val="22"/>
          <w:color w:val="auto"/>
        </w:rPr>
        <w:t>The Series A Junior Participating Preferred Stock shall rank junior to all series of Preferred Stock ,</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to the payment of dividends and as to the distribution of assets upon liquidation, dissolution or winding up, unless, in the case of any other series of Preferred Stock, the terms of any such series shall provide otherwise, and shall rank senior to the Common Stock as to such matters.</w:t>
      </w:r>
    </w:p>
    <w:p>
      <w:pPr>
        <w:spacing w:after="0" w:line="134"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8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w:t>
      </w:r>
      <w:r>
        <w:rPr>
          <w:rFonts w:ascii="Times New Roman" w:cs="Times New Roman" w:eastAsia="Times New Roman" w:hAnsi="Times New Roman"/>
          <w:sz w:val="22"/>
          <w:szCs w:val="22"/>
          <w:color w:val="auto"/>
        </w:rPr>
        <w:t>At any time that any shares of Series A Junior Participating Preferred Stock are outstanding,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Articles of Incorporation shall not be amended, by merger, consolidation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35"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2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Fractional Shares. </w:t>
      </w:r>
      <w:r>
        <w:rPr>
          <w:rFonts w:ascii="Times New Roman" w:cs="Times New Roman" w:eastAsia="Times New Roman" w:hAnsi="Times New Roman"/>
          <w:sz w:val="22"/>
          <w:szCs w:val="22"/>
          <w:color w:val="auto"/>
        </w:rPr>
        <w:t>Series A Junior Participating Preferred Stock may be issued in fractions of a share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211" w:lineRule="exact"/>
        <w:rPr>
          <w:rFonts w:ascii="Times New Roman" w:cs="Times New Roman" w:eastAsia="Times New Roman" w:hAnsi="Times New Roman"/>
          <w:sz w:val="22"/>
          <w:szCs w:val="22"/>
          <w:color w:val="auto"/>
        </w:rPr>
      </w:pPr>
    </w:p>
    <w:p>
      <w:pPr>
        <w:ind w:left="5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2 TO THE EQUITY PURCHASE AGREEMENT</w:t>
      </w:r>
    </w:p>
    <w:p>
      <w:pPr>
        <w:spacing w:after="0" w:line="237" w:lineRule="exact"/>
        <w:rPr>
          <w:sz w:val="20"/>
          <w:szCs w:val="20"/>
          <w:color w:val="auto"/>
        </w:rPr>
      </w:pPr>
    </w:p>
    <w:p>
      <w:pPr>
        <w:jc w:val="both"/>
        <w:ind w:firstLine="1539"/>
        <w:spacing w:after="0" w:line="232" w:lineRule="auto"/>
        <w:rPr>
          <w:sz w:val="20"/>
          <w:szCs w:val="20"/>
          <w:color w:val="auto"/>
        </w:rPr>
      </w:pPr>
      <w:r>
        <w:rPr>
          <w:rFonts w:ascii="Times New Roman" w:cs="Times New Roman" w:eastAsia="Times New Roman" w:hAnsi="Times New Roman"/>
          <w:sz w:val="22"/>
          <w:szCs w:val="22"/>
          <w:color w:val="auto"/>
        </w:rPr>
        <w:t>This AMENDMENT NO. 2 TO THE EQUITY PURCHASE AGREEMENT is entered into as of August 2, 2022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by and between Endeavor Operating Company, LLC, a Delaware limited liability company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Light &amp; Wonder, Inc. (formerly known as Scientific Games Corporation), a Nevada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Endeavor Group Holdings, Inc., a Delaware corporation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used but not defined herein shall have the meanings ascribed to such terms in the Equity Purchase Agreement (as defined below).</w:t>
      </w:r>
    </w:p>
    <w:p>
      <w:pPr>
        <w:spacing w:after="0" w:line="195" w:lineRule="exact"/>
        <w:rPr>
          <w:sz w:val="20"/>
          <w:szCs w:val="20"/>
          <w:color w:val="auto"/>
        </w:rPr>
      </w:pPr>
    </w:p>
    <w:p>
      <w:pPr>
        <w:jc w:val="both"/>
        <w:ind w:right="20" w:firstLine="1539"/>
        <w:spacing w:after="0" w:line="244" w:lineRule="auto"/>
        <w:rPr>
          <w:sz w:val="20"/>
          <w:szCs w:val="20"/>
          <w:color w:val="auto"/>
        </w:rPr>
      </w:pPr>
      <w:r>
        <w:rPr>
          <w:rFonts w:ascii="Times New Roman" w:cs="Times New Roman" w:eastAsia="Times New Roman" w:hAnsi="Times New Roman"/>
          <w:sz w:val="22"/>
          <w:szCs w:val="22"/>
          <w:color w:val="auto"/>
        </w:rPr>
        <w:t>WHEREAS, the Parties entered into that certain Equity Purchase Agreement, dated as of September 27, 2021 (as it may be amended, amended and restated, supplemented or otherwise modified from time to time, including by that certain Amendment No. 1 to the Equity Purchase Agreement, dated as of June 30, 2022, the “</w:t>
      </w:r>
      <w:r>
        <w:rPr>
          <w:rFonts w:ascii="Times New Roman" w:cs="Times New Roman" w:eastAsia="Times New Roman" w:hAnsi="Times New Roman"/>
          <w:sz w:val="22"/>
          <w:szCs w:val="22"/>
          <w:u w:val="single" w:color="auto"/>
          <w:color w:val="auto"/>
        </w:rPr>
        <w:t>Equity Purchase Agreement</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1539"/>
        <w:spacing w:after="0" w:line="258" w:lineRule="auto"/>
        <w:rPr>
          <w:sz w:val="20"/>
          <w:szCs w:val="20"/>
          <w:color w:val="auto"/>
        </w:rPr>
      </w:pPr>
      <w:r>
        <w:rPr>
          <w:rFonts w:ascii="Times New Roman" w:cs="Times New Roman" w:eastAsia="Times New Roman" w:hAnsi="Times New Roman"/>
          <w:sz w:val="22"/>
          <w:szCs w:val="22"/>
          <w:color w:val="auto"/>
        </w:rPr>
        <w:t>WHEREAS, pursuant to Section 9.04 of the Equity Purchase Agreement, the Equity Purchase Agreement (including the Parent Disclosure Letter) may be amended or modified by a written instrument signed by the Parties; and</w:t>
      </w:r>
    </w:p>
    <w:p>
      <w:pPr>
        <w:spacing w:after="0" w:line="172" w:lineRule="exact"/>
        <w:rPr>
          <w:sz w:val="20"/>
          <w:szCs w:val="20"/>
          <w:color w:val="auto"/>
        </w:rPr>
      </w:pPr>
    </w:p>
    <w:p>
      <w:pPr>
        <w:jc w:val="both"/>
        <w:ind w:firstLine="1539"/>
        <w:spacing w:after="0" w:line="258" w:lineRule="auto"/>
        <w:rPr>
          <w:sz w:val="20"/>
          <w:szCs w:val="20"/>
          <w:color w:val="auto"/>
        </w:rPr>
      </w:pPr>
      <w:r>
        <w:rPr>
          <w:rFonts w:ascii="Times New Roman" w:cs="Times New Roman" w:eastAsia="Times New Roman" w:hAnsi="Times New Roman"/>
          <w:sz w:val="22"/>
          <w:szCs w:val="22"/>
          <w:color w:val="auto"/>
        </w:rPr>
        <w:t>WHEREAS, each of the Parties wishes to amend and modify the Equity Purchase Agreement and the Parent Disclosure Letter as set forth herein.</w:t>
      </w:r>
    </w:p>
    <w:p>
      <w:pPr>
        <w:spacing w:after="0" w:line="18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NOW, THEREFORE, the Parties agree as follows:</w:t>
      </w:r>
    </w:p>
    <w:p>
      <w:pPr>
        <w:spacing w:after="0" w:line="220" w:lineRule="exact"/>
        <w:rPr>
          <w:sz w:val="20"/>
          <w:szCs w:val="20"/>
          <w:color w:val="auto"/>
        </w:rPr>
      </w:pPr>
    </w:p>
    <w:p>
      <w:pPr>
        <w:ind w:left="1920" w:hanging="373"/>
        <w:spacing w:after="0"/>
        <w:tabs>
          <w:tab w:leader="none" w:pos="19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2660" w:hanging="465"/>
        <w:spacing w:after="0"/>
        <w:tabs>
          <w:tab w:leader="none" w:pos="266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1.01(b) of the Equity Purchase Agreement is hereby amended and restated in its entirety 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09" w:lineRule="exact"/>
        <w:rPr>
          <w:sz w:val="20"/>
          <w:szCs w:val="20"/>
          <w:color w:val="auto"/>
        </w:rPr>
      </w:pPr>
    </w:p>
    <w:p>
      <w:pPr>
        <w:jc w:val="both"/>
        <w:ind w:left="660" w:firstLine="1458"/>
        <w:spacing w:after="0" w:line="229" w:lineRule="auto"/>
        <w:rPr>
          <w:sz w:val="20"/>
          <w:szCs w:val="20"/>
          <w:color w:val="auto"/>
        </w:rPr>
      </w:pPr>
      <w:r>
        <w:rPr>
          <w:rFonts w:ascii="Times New Roman" w:cs="Times New Roman" w:eastAsia="Times New Roman" w:hAnsi="Times New Roman"/>
          <w:sz w:val="22"/>
          <w:szCs w:val="22"/>
          <w:color w:val="auto"/>
        </w:rPr>
        <w:t>“(b) The Cash Consideration and the Stock Consideration shall be allocated among the equity interests of NYX, Don Best and the Non-US Transferred Companies in accordance with the allocation schedule attached hereto as Section 1.01(b) of the Parent Disclosure Letter (the “</w:t>
      </w:r>
      <w:r>
        <w:rPr>
          <w:rFonts w:ascii="Times New Roman" w:cs="Times New Roman" w:eastAsia="Times New Roman" w:hAnsi="Times New Roman"/>
          <w:sz w:val="22"/>
          <w:szCs w:val="22"/>
          <w:u w:val="single" w:color="auto"/>
          <w:color w:val="auto"/>
        </w:rPr>
        <w:t>Signing Consideration Allocation</w:t>
      </w:r>
      <w:r>
        <w:rPr>
          <w:rFonts w:ascii="Times New Roman" w:cs="Times New Roman" w:eastAsia="Times New Roman" w:hAnsi="Times New Roman"/>
          <w:sz w:val="22"/>
          <w:szCs w:val="22"/>
          <w:color w:val="auto"/>
        </w:rPr>
        <w:t xml:space="preserve">”), which specifies the portion of the Cash Consideration, if any, to be paid to each applicable Seller and the portion of the Stock Consideration, if any, to be paid to each applicable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Buyer’s prior written consent, the aggregate enterprise value allocated to DBS Canada, OB North America, OB Hellas and OB New Zealand shall not be an amount in excess of $50 million;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nothing herein shall limit Parent’s right to dispute an allocation by Buyer of an amount in excess of $50 million to the aggregate enterprise value of DBS Canada, OB North America, OB Hellas and OB New Zealand. On or before August 2, 2022, Parent shall deliver to Buyer a schedule allocating the portion of the Cash Consideration and Stock Consideration, if any, that was allocated to the Non-US Transferred Companies in the Signing Consideration Allocation among the equity interests of DBS Canada, OB Holdco Limited, OB North America, OB Hellas and</w:t>
      </w:r>
    </w:p>
    <w:p>
      <w:pPr>
        <w:sectPr>
          <w:pgSz w:w="11900" w:h="16838" w:orient="portrait"/>
          <w:cols w:equalWidth="0" w:num="1">
            <w:col w:w="11240"/>
          </w:cols>
          <w:pgMar w:left="320" w:top="135" w:right="339" w:bottom="1440" w:gutter="0" w:footer="0" w:header="0"/>
        </w:sectPr>
      </w:pPr>
    </w:p>
    <w:bookmarkStart w:id="62" w:name="page63"/>
    <w:bookmarkEnd w:id="62"/>
    <w:p>
      <w:pPr>
        <w:jc w:val="both"/>
        <w:ind w:left="660"/>
        <w:spacing w:after="0"/>
        <w:rPr>
          <w:sz w:val="20"/>
          <w:szCs w:val="20"/>
          <w:color w:val="auto"/>
        </w:rPr>
      </w:pPr>
      <w:r>
        <w:rPr>
          <w:rFonts w:ascii="Times New Roman" w:cs="Times New Roman" w:eastAsia="Times New Roman" w:hAnsi="Times New Roman"/>
          <w:sz w:val="21"/>
          <w:szCs w:val="21"/>
          <w:color w:val="auto"/>
        </w:rPr>
        <w:t>OB New Zealand (the “</w:t>
      </w:r>
      <w:r>
        <w:rPr>
          <w:rFonts w:ascii="Times New Roman" w:cs="Times New Roman" w:eastAsia="Times New Roman" w:hAnsi="Times New Roman"/>
          <w:sz w:val="21"/>
          <w:szCs w:val="21"/>
          <w:u w:val="single" w:color="auto"/>
          <w:color w:val="auto"/>
        </w:rPr>
        <w:t>Post-Signing Consideration Allocation</w:t>
      </w:r>
      <w:r>
        <w:rPr>
          <w:rFonts w:ascii="Times New Roman" w:cs="Times New Roman" w:eastAsia="Times New Roman" w:hAnsi="Times New Roman"/>
          <w:sz w:val="21"/>
          <w:szCs w:val="21"/>
          <w:color w:val="auto"/>
        </w:rPr>
        <w:t>”, and together with the Signing Consideration Allocation, the “</w:t>
      </w:r>
      <w:r>
        <w:rPr>
          <w:rFonts w:ascii="Times New Roman" w:cs="Times New Roman" w:eastAsia="Times New Roman" w:hAnsi="Times New Roman"/>
          <w:sz w:val="21"/>
          <w:szCs w:val="21"/>
          <w:u w:val="single" w:color="auto"/>
          <w:color w:val="auto"/>
        </w:rPr>
        <w:t>Consideration Allocation Schedule</w:t>
      </w:r>
      <w:r>
        <w:rPr>
          <w:rFonts w:ascii="Times New Roman" w:cs="Times New Roman" w:eastAsia="Times New Roman" w:hAnsi="Times New Roman"/>
          <w:sz w:val="21"/>
          <w:szCs w:val="21"/>
          <w:color w:val="auto"/>
        </w:rPr>
        <w:t xml:space="preserve">”), which shall specify the portion of the Cash Consideration, if any, to be paid to each applicable Seller and the portion of the Stock Consideration, if any, to be paid to each applicable Seller. Buyer and Parent shall use reasonable best efforts to resolve any disputes in relation to the Post-Signing Consideration Allocation in the thirty (30) days following Buyer’s receipt thereof. If Parent and Buyer are not able to resolve any disputes referred to in this Section 1.01(b), the matters in dispute shall be referred to the Independent Expert for prompt resolution in accordance with the procedures set forth in Section 5.14(j), applied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For the avoidance of doubt, the resolution of any such objections in respect of the Post-Signing Consideration Allocation shall not form the basis of any claim by any party hereto that any condition to such party’s obligation to consummate the Acquisition has not been satisfied. Corresponding adjustments shall be made to the applicable Consideration Allocation Schedule to reflect the payment of any amount pursuant to Section 1.05(a) or Section 1.05(b).”</w:t>
      </w:r>
    </w:p>
    <w:p>
      <w:pPr>
        <w:spacing w:after="0" w:line="206" w:lineRule="exact"/>
        <w:rPr>
          <w:sz w:val="20"/>
          <w:szCs w:val="20"/>
          <w:color w:val="auto"/>
        </w:rPr>
      </w:pPr>
    </w:p>
    <w:p>
      <w:pPr>
        <w:ind w:left="2680" w:hanging="485"/>
        <w:spacing w:after="0"/>
        <w:tabs>
          <w:tab w:leader="none" w:pos="26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Annex 1.01(b) of the Parent Disclosure Letter is hereby amended and restated in its entirety as set</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9" w:lineRule="exact"/>
        <w:rPr>
          <w:rFonts w:ascii="Times New Roman" w:cs="Times New Roman" w:eastAsia="Times New Roman" w:hAnsi="Times New Roman"/>
          <w:sz w:val="21"/>
          <w:szCs w:val="21"/>
          <w:color w:val="auto"/>
        </w:rPr>
      </w:pPr>
    </w:p>
    <w:p>
      <w:pPr>
        <w:ind w:right="20" w:firstLine="2195"/>
        <w:spacing w:after="0" w:line="245" w:lineRule="auto"/>
        <w:tabs>
          <w:tab w:leader="none" w:pos="270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2.03 of the Equity Purchase Agreement is hereby amended by replacing the reference to “Section 2.03” in the second sentence thereof with “Section 2.03(b)”.</w:t>
      </w:r>
    </w:p>
    <w:p>
      <w:pPr>
        <w:spacing w:after="0" w:line="199" w:lineRule="exact"/>
        <w:rPr>
          <w:rFonts w:ascii="Times New Roman" w:cs="Times New Roman" w:eastAsia="Times New Roman" w:hAnsi="Times New Roman"/>
          <w:sz w:val="22"/>
          <w:szCs w:val="22"/>
          <w:color w:val="auto"/>
        </w:rPr>
      </w:pPr>
    </w:p>
    <w:p>
      <w:pPr>
        <w:ind w:left="2720" w:hanging="525"/>
        <w:spacing w:after="0"/>
        <w:tabs>
          <w:tab w:leader="none" w:pos="27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2.03 of the Parent Disclosure Letter is hereby amended and restated in its entirety as set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95" w:lineRule="exact"/>
        <w:rPr>
          <w:rFonts w:ascii="Times New Roman" w:cs="Times New Roman" w:eastAsia="Times New Roman" w:hAnsi="Times New Roman"/>
          <w:sz w:val="22"/>
          <w:szCs w:val="22"/>
          <w:color w:val="auto"/>
        </w:rPr>
      </w:pPr>
    </w:p>
    <w:p>
      <w:pPr>
        <w:ind w:left="2720" w:hanging="525"/>
        <w:spacing w:after="0"/>
        <w:tabs>
          <w:tab w:leader="none" w:pos="27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2.04 of the Parent Disclosure Letter is hereby amended and restated in its entirety as set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195" w:lineRule="exact"/>
        <w:rPr>
          <w:rFonts w:ascii="Times New Roman" w:cs="Times New Roman" w:eastAsia="Times New Roman" w:hAnsi="Times New Roman"/>
          <w:sz w:val="22"/>
          <w:szCs w:val="22"/>
          <w:color w:val="auto"/>
        </w:rPr>
      </w:pPr>
    </w:p>
    <w:p>
      <w:pPr>
        <w:ind w:firstLine="2195"/>
        <w:spacing w:after="0" w:line="258" w:lineRule="auto"/>
        <w:tabs>
          <w:tab w:leader="none" w:pos="262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2.10(h) of the Equity Purchase Agreement is hereby amended by replacing the words “date of this Agreement” with “date of Amendment No. 2”.</w:t>
      </w:r>
    </w:p>
    <w:p>
      <w:pPr>
        <w:spacing w:after="0" w:line="185" w:lineRule="exact"/>
        <w:rPr>
          <w:rFonts w:ascii="Times New Roman" w:cs="Times New Roman" w:eastAsia="Times New Roman" w:hAnsi="Times New Roman"/>
          <w:sz w:val="22"/>
          <w:szCs w:val="22"/>
          <w:color w:val="auto"/>
        </w:rPr>
      </w:pPr>
    </w:p>
    <w:p>
      <w:pPr>
        <w:ind w:left="2680" w:hanging="485"/>
        <w:spacing w:after="0"/>
        <w:tabs>
          <w:tab w:leader="none" w:pos="26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2.10(h) of the Parent Disclosure Letter is hereby amended and restated in its entirety as set</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209" w:lineRule="exact"/>
        <w:rPr>
          <w:rFonts w:ascii="Times New Roman" w:cs="Times New Roman" w:eastAsia="Times New Roman" w:hAnsi="Times New Roman"/>
          <w:sz w:val="21"/>
          <w:szCs w:val="21"/>
          <w:color w:val="auto"/>
        </w:rPr>
      </w:pPr>
    </w:p>
    <w:p>
      <w:pPr>
        <w:ind w:right="20" w:firstLine="2195"/>
        <w:spacing w:after="0" w:line="245" w:lineRule="auto"/>
        <w:tabs>
          <w:tab w:leader="none" w:pos="26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2.10(n) of the Equity Purchase Agreement is hereby amended by replacing the words “OB Tech Newco Target” with “OB Holdco Limited”.</w:t>
      </w:r>
    </w:p>
    <w:p>
      <w:pPr>
        <w:spacing w:after="0" w:line="199" w:lineRule="exact"/>
        <w:rPr>
          <w:rFonts w:ascii="Times New Roman" w:cs="Times New Roman" w:eastAsia="Times New Roman" w:hAnsi="Times New Roman"/>
          <w:sz w:val="22"/>
          <w:szCs w:val="22"/>
          <w:color w:val="auto"/>
        </w:rPr>
      </w:pPr>
    </w:p>
    <w:p>
      <w:pPr>
        <w:ind w:left="2720" w:hanging="525"/>
        <w:spacing w:after="0"/>
        <w:tabs>
          <w:tab w:leader="none" w:pos="27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5.08 of the Equity Purchase Agreement is hereby amended by deleting the penultimate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sentence thereof.</w:t>
      </w:r>
    </w:p>
    <w:p>
      <w:pPr>
        <w:spacing w:after="0" w:line="195" w:lineRule="exact"/>
        <w:rPr>
          <w:rFonts w:ascii="Times New Roman" w:cs="Times New Roman" w:eastAsia="Times New Roman" w:hAnsi="Times New Roman"/>
          <w:sz w:val="22"/>
          <w:szCs w:val="22"/>
          <w:color w:val="auto"/>
        </w:rPr>
      </w:pPr>
    </w:p>
    <w:p>
      <w:pPr>
        <w:ind w:left="2640" w:hanging="445"/>
        <w:spacing w:after="0"/>
        <w:tabs>
          <w:tab w:leader="none" w:pos="2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5.14(e) of the Equity Purchase Agreement is hereby amended and restated in its entirety as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8" w:right="339" w:bottom="1440" w:gutter="0" w:footer="0" w:header="0"/>
        </w:sectPr>
      </w:pPr>
    </w:p>
    <w:bookmarkStart w:id="63" w:name="page64"/>
    <w:bookmarkEnd w:id="63"/>
    <w:p>
      <w:pPr>
        <w:jc w:val="both"/>
        <w:ind w:left="660" w:firstLine="1458"/>
        <w:spacing w:after="0" w:line="238" w:lineRule="auto"/>
        <w:rPr>
          <w:sz w:val="20"/>
          <w:szCs w:val="20"/>
          <w:color w:val="auto"/>
        </w:rPr>
      </w:pPr>
      <w:r>
        <w:rPr>
          <w:rFonts w:ascii="Times New Roman" w:cs="Times New Roman" w:eastAsia="Times New Roman" w:hAnsi="Times New Roman"/>
          <w:sz w:val="21"/>
          <w:szCs w:val="21"/>
          <w:color w:val="auto"/>
        </w:rPr>
        <w:t xml:space="preserve">“(e) </w:t>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 xml:space="preserve">. Buyer and Parent shall (and shall cause their relevant Affiliates to) (i) take all actions necessary to make a timely and valid election under Section 336(e) of the Code with respect to the acquisition of NYX in connection with this Agreement, including by complying with the requirements set forth in Treasury Regulations Sections 1.336-2(h)(1) and 1.336-2(h)(4) and entering into a written agreement creating a binding obligation to make such election; (ii) take all actions required to make timely and valid elections that are available under state or local law that are similar to the election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and (iii) cooperate in the preparation and filing of all forms, attachments and schedules necessary to effectuate the elections provided for in this Section 5.14(e). The parties hereto agree that they shall make no election pursuant to Section 336(e) or 338 of the Code with respect to Don Best and Parent shall not be required to take any action to cause Don Best to be treated as an entity disregarded from its owner for U.S. federal income tax purposes. Prior to the Closing, Parent shall make entity classification elections or otherwise cause each of the Business Companies listed on Section 5.14(e)(i) of the Parent Disclosure Letter to be treated as an entity disregarded from its owner for U.S. federal income tax purposes, effective at least one day prior to the Closing. Subject to the provisions of Section 5.08, Buyer shall make an election under Section 338(g) of the Code and any comparable provisions of state or local Tax Law with respect to the Business Companies listed on Section 5.14(e)(ii) of the Parent Disclosure Letter. Parent shall, and shall cause its Affiliates to, make any election pursuant to Treasury Regulation Section 1.1502-36 (and equivalent elections under other provisions of available U.S. state or local or non-U.S. Law) necessary to ensure that there is no reduction in the Tax basis of the assets of, or in the other Tax attributes of, any Business Company. Parent and Buyer agree to report (or cause their applicable Affiliates to report) the transfer of all Business Companies consistent with the elections or other tax reporting positions set forth in this Section 5.14(e) and shall take no position contrary thereto on their income Tax Returns unless required to do so by applicable Law.”</w:t>
      </w:r>
    </w:p>
    <w:p>
      <w:pPr>
        <w:spacing w:after="0" w:line="206" w:lineRule="exact"/>
        <w:rPr>
          <w:sz w:val="20"/>
          <w:szCs w:val="20"/>
          <w:color w:val="auto"/>
        </w:rPr>
      </w:pPr>
    </w:p>
    <w:p>
      <w:pPr>
        <w:ind w:left="2700" w:hanging="505"/>
        <w:spacing w:after="0"/>
        <w:tabs>
          <w:tab w:leader="none" w:pos="27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5.14(e)(i) of the Parent Disclosure Letter is hereby amended and restated in its entirety as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w:t>
      </w:r>
    </w:p>
    <w:p>
      <w:pPr>
        <w:spacing w:after="0" w:line="195" w:lineRule="exact"/>
        <w:rPr>
          <w:rFonts w:ascii="Times New Roman" w:cs="Times New Roman" w:eastAsia="Times New Roman" w:hAnsi="Times New Roman"/>
          <w:sz w:val="21"/>
          <w:szCs w:val="21"/>
          <w:color w:val="auto"/>
        </w:rPr>
      </w:pPr>
    </w:p>
    <w:p>
      <w:pPr>
        <w:ind w:right="20" w:firstLine="2195"/>
        <w:spacing w:after="0" w:line="258" w:lineRule="auto"/>
        <w:tabs>
          <w:tab w:leader="none" w:pos="268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5.14(f)(ii) of the Equity Purchase Agreement is hereby amended by replacing the words “OB Tech Newco Target” with “OB Holdco Limited” in each instance in which they appear therein.</w:t>
      </w:r>
    </w:p>
    <w:p>
      <w:pPr>
        <w:spacing w:after="0" w:line="171" w:lineRule="exact"/>
        <w:rPr>
          <w:rFonts w:ascii="Times New Roman" w:cs="Times New Roman" w:eastAsia="Times New Roman" w:hAnsi="Times New Roman"/>
          <w:sz w:val="22"/>
          <w:szCs w:val="22"/>
          <w:color w:val="auto"/>
        </w:rPr>
      </w:pPr>
    </w:p>
    <w:p>
      <w:pPr>
        <w:ind w:left="2760" w:hanging="565"/>
        <w:spacing w:after="0"/>
        <w:tabs>
          <w:tab w:leader="none" w:pos="27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definitions are hereby added to Section 9.02 of the Equity Purchase Agreement in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appropriate alphabetical order:</w:t>
      </w:r>
    </w:p>
    <w:p>
      <w:pPr>
        <w:spacing w:after="0" w:line="209" w:lineRule="exact"/>
        <w:rPr>
          <w:sz w:val="20"/>
          <w:szCs w:val="20"/>
          <w:color w:val="auto"/>
        </w:rPr>
      </w:pPr>
    </w:p>
    <w:p>
      <w:pPr>
        <w:ind w:left="660" w:firstLine="1539"/>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means Amendment No. 2 to this Agreement, dated as of August 2, 2022, by and between Buyer, Parent and Buyer Pubco.</w:t>
      </w:r>
    </w:p>
    <w:p>
      <w:pPr>
        <w:spacing w:after="0" w:line="19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 Hellas</w:t>
      </w:r>
      <w:r>
        <w:rPr>
          <w:rFonts w:ascii="Times New Roman" w:cs="Times New Roman" w:eastAsia="Times New Roman" w:hAnsi="Times New Roman"/>
          <w:sz w:val="22"/>
          <w:szCs w:val="22"/>
          <w:color w:val="auto"/>
        </w:rPr>
        <w:t>” means OpenBet Hellas S.A., a société anonyme organized under the laws of Greece.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64" w:name="page65"/>
    <w:bookmarkEnd w:id="64"/>
    <w:p>
      <w:pPr>
        <w:ind w:left="2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 New Zealand</w:t>
      </w:r>
      <w:r>
        <w:rPr>
          <w:rFonts w:ascii="Times New Roman" w:cs="Times New Roman" w:eastAsia="Times New Roman" w:hAnsi="Times New Roman"/>
          <w:sz w:val="22"/>
          <w:szCs w:val="22"/>
          <w:color w:val="auto"/>
        </w:rPr>
        <w:t>” means OpenBet New Zealand Limited, a company incorporated under the laws of</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New Zealand.</w:t>
      </w:r>
    </w:p>
    <w:p>
      <w:pPr>
        <w:spacing w:after="0" w:line="19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 North America</w:t>
      </w:r>
      <w:r>
        <w:rPr>
          <w:rFonts w:ascii="Times New Roman" w:cs="Times New Roman" w:eastAsia="Times New Roman" w:hAnsi="Times New Roman"/>
          <w:sz w:val="22"/>
          <w:szCs w:val="22"/>
          <w:color w:val="auto"/>
        </w:rPr>
        <w:t>” means OpenBet North America Corporation, a Canadian corporation.</w:t>
      </w:r>
    </w:p>
    <w:p>
      <w:pPr>
        <w:spacing w:after="0" w:line="233" w:lineRule="exact"/>
        <w:rPr>
          <w:sz w:val="20"/>
          <w:szCs w:val="20"/>
          <w:color w:val="auto"/>
        </w:rPr>
      </w:pPr>
    </w:p>
    <w:p>
      <w:pPr>
        <w:ind w:firstLine="2195"/>
        <w:spacing w:after="0" w:line="258" w:lineRule="auto"/>
        <w:tabs>
          <w:tab w:leader="none" w:pos="2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“Non-US Transferred Companies” in Section 9.02 of the Equity Purchase Agreement is hereby amended and restated in its entirety as follows:</w:t>
      </w:r>
    </w:p>
    <w:p>
      <w:pPr>
        <w:spacing w:after="0" w:line="172" w:lineRule="exact"/>
        <w:rPr>
          <w:sz w:val="20"/>
          <w:szCs w:val="20"/>
          <w:color w:val="auto"/>
        </w:rPr>
      </w:pPr>
    </w:p>
    <w:p>
      <w:pPr>
        <w:ind w:left="660" w:firstLine="1539"/>
        <w:spacing w:after="0" w:line="258" w:lineRule="auto"/>
        <w:rPr>
          <w:sz w:val="20"/>
          <w:szCs w:val="20"/>
          <w:color w:val="auto"/>
        </w:rPr>
      </w:pPr>
      <w:r>
        <w:rPr>
          <w:rFonts w:ascii="Times New Roman" w:cs="Times New Roman" w:eastAsia="Times New Roman" w:hAnsi="Times New Roman"/>
          <w:sz w:val="22"/>
          <w:szCs w:val="22"/>
          <w:color w:val="auto"/>
        </w:rPr>
        <w:t>“Non-US Transferred Companies” means (a) DBS Canada, (b) OB Hellas, (c) OB Holdco Limited, (d) OB New Zealand and (e) OB North America.</w:t>
      </w:r>
    </w:p>
    <w:p>
      <w:pPr>
        <w:spacing w:after="0" w:line="172" w:lineRule="exact"/>
        <w:rPr>
          <w:sz w:val="20"/>
          <w:szCs w:val="20"/>
          <w:color w:val="auto"/>
        </w:rPr>
      </w:pPr>
    </w:p>
    <w:p>
      <w:pPr>
        <w:ind w:firstLine="2195"/>
        <w:spacing w:after="0" w:line="258" w:lineRule="auto"/>
        <w:tabs>
          <w:tab w:leader="none" w:pos="269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“OB Tech Newco Target” in Section 9.02 of the Equity Purchase Agreement is hereby amended and restated in its entirety as follows and relocated to appear in appropriate alphabetical order:</w:t>
      </w:r>
    </w:p>
    <w:p>
      <w:pPr>
        <w:spacing w:after="0" w:line="17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 Holdco Limited</w:t>
      </w:r>
      <w:r>
        <w:rPr>
          <w:rFonts w:ascii="Times New Roman" w:cs="Times New Roman" w:eastAsia="Times New Roman" w:hAnsi="Times New Roman"/>
          <w:sz w:val="22"/>
          <w:szCs w:val="22"/>
          <w:color w:val="auto"/>
        </w:rPr>
        <w:t>” means OpenBet Holdco Limited, a private company formed under the laws of</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Jersey.</w:t>
      </w:r>
    </w:p>
    <w:p>
      <w:pPr>
        <w:spacing w:after="0" w:line="209" w:lineRule="exact"/>
        <w:rPr>
          <w:sz w:val="20"/>
          <w:szCs w:val="20"/>
          <w:color w:val="auto"/>
        </w:rPr>
      </w:pPr>
    </w:p>
    <w:p>
      <w:pPr>
        <w:ind w:right="20" w:firstLine="2195"/>
        <w:spacing w:after="0" w:line="245" w:lineRule="auto"/>
        <w:tabs>
          <w:tab w:leader="none" w:pos="269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“Sellers” in Section 9.02 of the Equity Purchase Agreement is hereby amended and restated in its entirety as follows:</w:t>
      </w:r>
    </w:p>
    <w:p>
      <w:pPr>
        <w:spacing w:after="0" w:line="199" w:lineRule="exact"/>
        <w:rPr>
          <w:sz w:val="20"/>
          <w:szCs w:val="20"/>
          <w:color w:val="auto"/>
        </w:rPr>
      </w:pPr>
    </w:p>
    <w:p>
      <w:pPr>
        <w:ind w:left="660" w:firstLine="1539"/>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 means (i) Parent, (ii) Bally Gaming Canada Ltd., a Canadian corporation, (iii) SG Gaming, Inc., a Nevada corporation and (iv) NYX Gaming Group LLC, a Nevada limited liability company.</w:t>
      </w:r>
    </w:p>
    <w:p>
      <w:pPr>
        <w:spacing w:after="0" w:line="199" w:lineRule="exact"/>
        <w:rPr>
          <w:sz w:val="20"/>
          <w:szCs w:val="20"/>
          <w:color w:val="auto"/>
        </w:rPr>
      </w:pPr>
    </w:p>
    <w:p>
      <w:pPr>
        <w:ind w:firstLine="2195"/>
        <w:spacing w:after="0" w:line="258" w:lineRule="auto"/>
        <w:tabs>
          <w:tab w:leader="none" w:pos="270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“Transferred Companies” in Section 9.02 of the Equity Purchase Agreement is hereby amended and restated in its entirety as follows:</w:t>
      </w:r>
    </w:p>
    <w:p>
      <w:pPr>
        <w:spacing w:after="0" w:line="172" w:lineRule="exact"/>
        <w:rPr>
          <w:sz w:val="20"/>
          <w:szCs w:val="20"/>
          <w:color w:val="auto"/>
        </w:rPr>
      </w:pPr>
    </w:p>
    <w:p>
      <w:pPr>
        <w:ind w:left="660" w:firstLine="153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Transferred Companies</w:t>
      </w:r>
      <w:r>
        <w:rPr>
          <w:rFonts w:ascii="Times New Roman" w:cs="Times New Roman" w:eastAsia="Times New Roman" w:hAnsi="Times New Roman"/>
          <w:sz w:val="22"/>
          <w:szCs w:val="22"/>
          <w:color w:val="auto"/>
        </w:rPr>
        <w:t>” means (a) NYX, (b) Don Best, (c) DBS Canada, (d) OB Hellas, (e) OB Holdco Limited, (f) OB New Zealand and (g) OB North America.</w:t>
      </w:r>
    </w:p>
    <w:p>
      <w:pPr>
        <w:spacing w:after="0" w:line="172" w:lineRule="exact"/>
        <w:rPr>
          <w:sz w:val="20"/>
          <w:szCs w:val="20"/>
          <w:color w:val="auto"/>
        </w:rPr>
      </w:pPr>
    </w:p>
    <w:p>
      <w:pPr>
        <w:ind w:left="2660" w:hanging="465"/>
        <w:spacing w:after="0"/>
        <w:tabs>
          <w:tab w:leader="none" w:pos="266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Annex 9.02(f) of the Parent Disclosure Letter is hereby amended and restated in its entirety as set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w:t>
      </w:r>
    </w:p>
    <w:p>
      <w:pPr>
        <w:spacing w:after="0" w:line="209" w:lineRule="exact"/>
        <w:rPr>
          <w:rFonts w:ascii="Times New Roman" w:cs="Times New Roman" w:eastAsia="Times New Roman" w:hAnsi="Times New Roman"/>
          <w:sz w:val="22"/>
          <w:szCs w:val="22"/>
          <w:color w:val="auto"/>
        </w:rPr>
      </w:pPr>
    </w:p>
    <w:p>
      <w:pPr>
        <w:ind w:left="1920" w:hanging="373"/>
        <w:spacing w:after="0"/>
        <w:tabs>
          <w:tab w:leader="none" w:pos="19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Amendment shall become effective as of the date hereof.</w:t>
      </w:r>
    </w:p>
    <w:p>
      <w:pPr>
        <w:spacing w:after="0" w:line="219" w:lineRule="exact"/>
        <w:rPr>
          <w:rFonts w:ascii="Times New Roman" w:cs="Times New Roman" w:eastAsia="Times New Roman" w:hAnsi="Times New Roman"/>
          <w:sz w:val="22"/>
          <w:szCs w:val="22"/>
          <w:color w:val="auto"/>
        </w:rPr>
      </w:pPr>
    </w:p>
    <w:p>
      <w:pPr>
        <w:jc w:val="both"/>
        <w:ind w:firstLine="1547"/>
        <w:spacing w:after="0" w:line="236" w:lineRule="auto"/>
        <w:tabs>
          <w:tab w:leader="none" w:pos="197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This Amendment shall not constitute a waiver, amendment or modification of any provision of the Equity Purchase Agreement or the Parent Disclosure Letter not expressly referred to in Section 1 of this Amendment. Except as specifically modified and amended hereby, the Equity Purchase Agreement shall remain unchanged and in full force and effect. References in the Equity Purchase Agreement to “this Agreement”,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65" w:name="page66"/>
    <w:bookmarkEnd w:id="65"/>
    <w:p>
      <w:pPr>
        <w:jc w:val="both"/>
        <w:spacing w:after="0" w:line="238" w:lineRule="auto"/>
        <w:rPr>
          <w:sz w:val="20"/>
          <w:szCs w:val="20"/>
          <w:color w:val="auto"/>
        </w:rPr>
      </w:pPr>
      <w:r>
        <w:rPr>
          <w:rFonts w:ascii="Times New Roman" w:cs="Times New Roman" w:eastAsia="Times New Roman" w:hAnsi="Times New Roman"/>
          <w:sz w:val="22"/>
          <w:szCs w:val="22"/>
          <w:color w:val="auto"/>
        </w:rPr>
        <w:t>“hereunder”, “hereto”, “hereof” and words of similar import shall refer to the Equity Purchase Agreement as amended hereby, and references to the date of the Equity Purchase Agreement, and references to the “date hereof”, “the date of this Agreement” or words of similar meaning in the Equity Purchase Agreement, shall continue to refer to September 27, 2021.</w:t>
      </w:r>
    </w:p>
    <w:p>
      <w:pPr>
        <w:spacing w:after="0" w:line="202" w:lineRule="exact"/>
        <w:rPr>
          <w:sz w:val="20"/>
          <w:szCs w:val="20"/>
          <w:color w:val="auto"/>
        </w:rPr>
      </w:pPr>
    </w:p>
    <w:p>
      <w:pPr>
        <w:jc w:val="both"/>
        <w:ind w:firstLine="1547"/>
        <w:spacing w:after="0" w:line="233" w:lineRule="auto"/>
        <w:tabs>
          <w:tab w:leader="none" w:pos="20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The provisions of the Confidentiality Agreement and Sections, 8.06 (</w:t>
      </w:r>
      <w:r>
        <w:rPr>
          <w:rFonts w:ascii="Times New Roman" w:cs="Times New Roman" w:eastAsia="Times New Roman" w:hAnsi="Times New Roman"/>
          <w:sz w:val="22"/>
          <w:szCs w:val="22"/>
          <w:i w:val="1"/>
          <w:iCs w:val="1"/>
          <w:color w:val="auto"/>
        </w:rPr>
        <w:t>Exclusivity,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Duplicate Recovery</w:t>
      </w:r>
      <w:r>
        <w:rPr>
          <w:rFonts w:ascii="Times New Roman" w:cs="Times New Roman" w:eastAsia="Times New Roman" w:hAnsi="Times New Roman"/>
          <w:sz w:val="22"/>
          <w:szCs w:val="22"/>
          <w:color w:val="auto"/>
        </w:rPr>
        <w:t>), 9.01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9.03 (</w:t>
      </w: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9.04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9.05 (</w:t>
      </w:r>
      <w:r>
        <w:rPr>
          <w:rFonts w:ascii="Times New Roman" w:cs="Times New Roman" w:eastAsia="Times New Roman" w:hAnsi="Times New Roman"/>
          <w:sz w:val="22"/>
          <w:szCs w:val="22"/>
          <w:i w:val="1"/>
          <w:iCs w:val="1"/>
          <w:color w:val="auto"/>
        </w:rPr>
        <w:t>Extension; Waivers</w:t>
      </w:r>
      <w:r>
        <w:rPr>
          <w:rFonts w:ascii="Times New Roman" w:cs="Times New Roman" w:eastAsia="Times New Roman" w:hAnsi="Times New Roman"/>
          <w:sz w:val="22"/>
          <w:szCs w:val="22"/>
          <w:color w:val="auto"/>
        </w:rPr>
        <w:t>), 9.06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9.07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9.08 (</w:t>
      </w:r>
      <w:r>
        <w:rPr>
          <w:rFonts w:ascii="Times New Roman" w:cs="Times New Roman" w:eastAsia="Times New Roman" w:hAnsi="Times New Roman"/>
          <w:sz w:val="22"/>
          <w:szCs w:val="22"/>
          <w:i w:val="1"/>
          <w:iCs w:val="1"/>
          <w:color w:val="auto"/>
        </w:rPr>
        <w:t>Entire Agreement; Third-Party Beneficiaries</w:t>
      </w:r>
      <w:r>
        <w:rPr>
          <w:rFonts w:ascii="Times New Roman" w:cs="Times New Roman" w:eastAsia="Times New Roman" w:hAnsi="Times New Roman"/>
          <w:sz w:val="22"/>
          <w:szCs w:val="22"/>
          <w:color w:val="auto"/>
        </w:rPr>
        <w:t>), 9.09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9.10 (</w:t>
      </w: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9.11 (</w:t>
      </w:r>
      <w:r>
        <w:rPr>
          <w:rFonts w:ascii="Times New Roman" w:cs="Times New Roman" w:eastAsia="Times New Roman" w:hAnsi="Times New Roman"/>
          <w:sz w:val="22"/>
          <w:szCs w:val="22"/>
          <w:i w:val="1"/>
          <w:iCs w:val="1"/>
          <w:color w:val="auto"/>
        </w:rPr>
        <w:t>Enforcement</w:t>
      </w:r>
      <w:r>
        <w:rPr>
          <w:rFonts w:ascii="Times New Roman" w:cs="Times New Roman" w:eastAsia="Times New Roman" w:hAnsi="Times New Roman"/>
          <w:sz w:val="22"/>
          <w:szCs w:val="22"/>
          <w:color w:val="auto"/>
        </w:rPr>
        <w:t>) and 9.12 (</w:t>
      </w:r>
      <w:r>
        <w:rPr>
          <w:rFonts w:ascii="Times New Roman" w:cs="Times New Roman" w:eastAsia="Times New Roman" w:hAnsi="Times New Roman"/>
          <w:sz w:val="22"/>
          <w:szCs w:val="22"/>
          <w:i w:val="1"/>
          <w:iCs w:val="1"/>
          <w:color w:val="auto"/>
        </w:rPr>
        <w:t>Jurisdiction; Consent to Service of Process</w:t>
      </w:r>
      <w:r>
        <w:rPr>
          <w:rFonts w:ascii="Times New Roman" w:cs="Times New Roman" w:eastAsia="Times New Roman" w:hAnsi="Times New Roman"/>
          <w:sz w:val="22"/>
          <w:szCs w:val="22"/>
          <w:color w:val="auto"/>
        </w:rPr>
        <w:t xml:space="preserve">) of the Equity Purchase Agreement are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and shall be binding upon the Parties.</w:t>
      </w:r>
    </w:p>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66" w:name="page67"/>
    <w:bookmarkEnd w:id="66"/>
    <w:p>
      <w:pPr>
        <w:spacing w:after="0" w:line="144" w:lineRule="exact"/>
        <w:rPr>
          <w:sz w:val="20"/>
          <w:szCs w:val="20"/>
          <w:color w:val="auto"/>
        </w:rPr>
      </w:pPr>
    </w:p>
    <w:p>
      <w:pPr>
        <w:ind w:firstLine="153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as of the date first written above.</w:t>
      </w: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ENDEAVOR OPERATING COMPANY, LLC</w:t>
      </w: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Jason Lublin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9029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4540"/>
        <w:spacing w:after="0" w:line="231" w:lineRule="auto"/>
        <w:rPr>
          <w:sz w:val="20"/>
          <w:szCs w:val="20"/>
          <w:color w:val="auto"/>
        </w:rPr>
      </w:pPr>
      <w:r>
        <w:rPr>
          <w:rFonts w:ascii="Times New Roman" w:cs="Times New Roman" w:eastAsia="Times New Roman" w:hAnsi="Times New Roman"/>
          <w:sz w:val="22"/>
          <w:szCs w:val="22"/>
          <w:color w:val="auto"/>
        </w:rPr>
        <w:t>Name: Jason Lublin</w:t>
      </w: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LIGHT &amp; WONDER, INC.</w:t>
      </w: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James Sottile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9258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 James Sottile</w:t>
      </w:r>
    </w:p>
    <w:p>
      <w:pPr>
        <w:ind w:left="4540"/>
        <w:spacing w:after="0"/>
        <w:rPr>
          <w:sz w:val="20"/>
          <w:szCs w:val="20"/>
          <w:color w:val="auto"/>
        </w:rPr>
      </w:pPr>
      <w:r>
        <w:rPr>
          <w:rFonts w:ascii="Times New Roman" w:cs="Times New Roman" w:eastAsia="Times New Roman" w:hAnsi="Times New Roman"/>
          <w:sz w:val="22"/>
          <w:szCs w:val="22"/>
          <w:color w:val="auto"/>
        </w:rPr>
        <w:t>Title: Executive Vice President and Chief Legal Officer</w:t>
      </w: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ENDEAVOR GROUP HOLDINGS, INC.</w:t>
      </w: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Jason Lublin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9029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902970" cy="8890"/>
                    </a:xfrm>
                    <a:prstGeom prst="rect">
                      <a:avLst/>
                    </a:prstGeom>
                    <a:noFill/>
                  </pic:spPr>
                </pic:pic>
              </a:graphicData>
            </a:graphic>
          </wp:anchor>
        </w:drawing>
      </w:r>
    </w:p>
    <w:p>
      <w:pPr>
        <w:ind w:left="4540"/>
        <w:spacing w:after="0" w:line="231" w:lineRule="auto"/>
        <w:rPr>
          <w:sz w:val="20"/>
          <w:szCs w:val="20"/>
          <w:color w:val="auto"/>
        </w:rPr>
      </w:pPr>
      <w:r>
        <w:rPr>
          <w:rFonts w:ascii="Times New Roman" w:cs="Times New Roman" w:eastAsia="Times New Roman" w:hAnsi="Times New Roman"/>
          <w:sz w:val="22"/>
          <w:szCs w:val="22"/>
          <w:color w:val="auto"/>
        </w:rPr>
        <w:t>Name: Jason Lublin</w:t>
      </w: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3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Amendment No. 2 to Equity Purchase Agreement</w:t>
      </w:r>
      <w:r>
        <w:rPr>
          <w:rFonts w:ascii="Times New Roman" w:cs="Times New Roman" w:eastAsia="Times New Roman" w:hAnsi="Times New Roman"/>
          <w:sz w:val="22"/>
          <w:szCs w:val="22"/>
          <w:color w:val="auto"/>
        </w:rPr>
        <w:t>]</w:t>
      </w:r>
    </w:p>
    <w:p>
      <w:pPr>
        <w:sectPr>
          <w:pgSz w:w="11900" w:h="16838" w:orient="portrait"/>
          <w:cols w:equalWidth="0" w:num="1">
            <w:col w:w="10980"/>
          </w:cols>
          <w:pgMar w:left="320" w:top="1440" w:right="5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Barry L. Cottle, certify that:</w:t>
      </w:r>
    </w:p>
    <w:p>
      <w:pPr>
        <w:spacing w:after="0" w:line="293"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620" w:right="20" w:hanging="316"/>
        <w:spacing w:after="0" w:line="266" w:lineRule="auto"/>
        <w:tabs>
          <w:tab w:leader="none" w:pos="161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316"/>
        <w:spacing w:after="0" w:line="266" w:lineRule="auto"/>
        <w:tabs>
          <w:tab w:leader="none" w:pos="160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620" w:right="180" w:hanging="316"/>
        <w:spacing w:after="0" w:line="266" w:lineRule="auto"/>
        <w:tabs>
          <w:tab w:leader="none" w:pos="161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620" w:right="240" w:hanging="316"/>
        <w:spacing w:after="0" w:line="266" w:lineRule="auto"/>
        <w:tabs>
          <w:tab w:leader="none" w:pos="165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80" w:hanging="324"/>
        <w:spacing w:after="0" w:line="282" w:lineRule="auto"/>
        <w:tabs>
          <w:tab w:leader="none" w:pos="9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right="180" w:hanging="316"/>
        <w:spacing w:after="0" w:line="282" w:lineRule="auto"/>
        <w:tabs>
          <w:tab w:leader="none" w:pos="15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620" w:right="460" w:hanging="316"/>
        <w:spacing w:after="0" w:line="282" w:lineRule="auto"/>
        <w:tabs>
          <w:tab w:leader="none" w:pos="158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9113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Barry L. Cottle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Constance P. James, certify that:</w:t>
      </w:r>
    </w:p>
    <w:p>
      <w:pPr>
        <w:spacing w:after="0" w:line="306"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80" w:right="60" w:hanging="324"/>
        <w:spacing w:after="0" w:line="258"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80" w:right="180" w:hanging="324"/>
        <w:spacing w:after="0" w:line="258"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620" w:right="20" w:hanging="316"/>
        <w:spacing w:after="0" w:line="250" w:lineRule="auto"/>
        <w:tabs>
          <w:tab w:leader="none" w:pos="16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8"/>
          <w:szCs w:val="18"/>
          <w:color w:val="auto"/>
        </w:rPr>
      </w:pPr>
    </w:p>
    <w:p>
      <w:pPr>
        <w:ind w:left="1620" w:right="100" w:hanging="316"/>
        <w:spacing w:after="0" w:line="258" w:lineRule="auto"/>
        <w:tabs>
          <w:tab w:leader="none" w:pos="16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8"/>
          <w:szCs w:val="18"/>
          <w:color w:val="auto"/>
        </w:rPr>
      </w:pPr>
    </w:p>
    <w:p>
      <w:pPr>
        <w:ind w:left="1620" w:right="180" w:hanging="316"/>
        <w:spacing w:after="0" w:line="258" w:lineRule="auto"/>
        <w:tabs>
          <w:tab w:leader="none" w:pos="16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620" w:right="300" w:hanging="316"/>
        <w:spacing w:after="0" w:line="250" w:lineRule="auto"/>
        <w:tabs>
          <w:tab w:leader="none" w:pos="16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980" w:right="140" w:hanging="324"/>
        <w:spacing w:after="0" w:line="296" w:lineRule="auto"/>
        <w:tabs>
          <w:tab w:leader="none" w:pos="9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620" w:right="140" w:hanging="316"/>
        <w:spacing w:after="0" w:line="282" w:lineRule="auto"/>
        <w:tabs>
          <w:tab w:leader="none" w:pos="16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620" w:right="420" w:hanging="316"/>
        <w:spacing w:after="0" w:line="266" w:lineRule="auto"/>
        <w:tabs>
          <w:tab w:leader="none" w:pos="16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800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Constance P. James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ind w:right="80" w:firstLine="180"/>
        <w:spacing w:after="0" w:line="321" w:lineRule="auto"/>
        <w:rPr>
          <w:sz w:val="20"/>
          <w:szCs w:val="20"/>
          <w:color w:val="auto"/>
        </w:rPr>
      </w:pPr>
      <w:r>
        <w:rPr>
          <w:rFonts w:ascii="Times New Roman" w:cs="Times New Roman" w:eastAsia="Times New Roman" w:hAnsi="Times New Roman"/>
          <w:sz w:val="18"/>
          <w:szCs w:val="18"/>
          <w:color w:val="auto"/>
        </w:rPr>
        <w:t>In connection with the Quarterly Report of Light &amp; Wonder, Inc. (the “Company”) on Form 10-Q for the period ended June 30, 2022 as filed with the Securities and Exchange Commission on the date hereof (the “Report”), I, Barry L. Cottle, Chief Executive Officer of the Company, certify, pursuant to 18 U.S.C. § 1350, as adopted pursuant to Section 906 of the Sarbanes-Oxley Act of 2002, that, to my knowledge:</w:t>
      </w:r>
    </w:p>
    <w:p>
      <w:pPr>
        <w:spacing w:after="0" w:line="101" w:lineRule="exact"/>
        <w:rPr>
          <w:sz w:val="20"/>
          <w:szCs w:val="20"/>
          <w:color w:val="auto"/>
        </w:rPr>
      </w:pPr>
    </w:p>
    <w:p>
      <w:pPr>
        <w:ind w:left="980" w:hanging="648"/>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right="580" w:hanging="648"/>
        <w:spacing w:after="0" w:line="344" w:lineRule="auto"/>
        <w:tabs>
          <w:tab w:leader="none" w:pos="9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2" w:lineRule="exact"/>
        <w:rPr>
          <w:sz w:val="20"/>
          <w:szCs w:val="20"/>
          <w:color w:val="auto"/>
        </w:rPr>
      </w:pPr>
    </w:p>
    <w:p>
      <w:pPr>
        <w:ind w:right="700" w:firstLine="170"/>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Barry L. Cottle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43180</wp:posOffset>
            </wp:positionV>
            <wp:extent cx="3549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Barry L. Cottle</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August 9, 2022</w:t>
      </w:r>
    </w:p>
    <w:p>
      <w:pPr>
        <w:sectPr>
          <w:pgSz w:w="11900" w:h="16838" w:orient="portrait"/>
          <w:cols w:equalWidth="0" w:num="1">
            <w:col w:w="11240"/>
          </w:cols>
          <w:pgMar w:left="320" w:top="14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ind w:right="40" w:firstLine="180"/>
        <w:spacing w:after="0" w:line="323" w:lineRule="auto"/>
        <w:rPr>
          <w:sz w:val="20"/>
          <w:szCs w:val="20"/>
          <w:color w:val="auto"/>
        </w:rPr>
      </w:pPr>
      <w:r>
        <w:rPr>
          <w:rFonts w:ascii="Times New Roman" w:cs="Times New Roman" w:eastAsia="Times New Roman" w:hAnsi="Times New Roman"/>
          <w:sz w:val="17"/>
          <w:szCs w:val="17"/>
          <w:color w:val="auto"/>
        </w:rPr>
        <w:t>In connection with the Quarterly Report of Light &amp; Wonder, Inc. (the “Company”) on Form 10-Q for the period ended June 30, 2022 as filed with the Securities and Exchange Commission on the date hereof (the “Report”), I, Constance P. James, Chief Financial Officer of the Company, certify, pursuant to</w:t>
      </w:r>
    </w:p>
    <w:p>
      <w:pPr>
        <w:spacing w:after="0"/>
        <w:rPr>
          <w:sz w:val="20"/>
          <w:szCs w:val="20"/>
          <w:color w:val="auto"/>
        </w:rPr>
      </w:pPr>
      <w:r>
        <w:rPr>
          <w:rFonts w:ascii="Times New Roman" w:cs="Times New Roman" w:eastAsia="Times New Roman" w:hAnsi="Times New Roman"/>
          <w:sz w:val="18"/>
          <w:szCs w:val="18"/>
          <w:color w:val="auto"/>
        </w:rPr>
        <w:t>18 U.S.C. § 1350, as adopted pursuant to Section 906 of the Sarbanes Oxley Act of 2002, that, to my knowledge:</w:t>
      </w:r>
    </w:p>
    <w:p>
      <w:pPr>
        <w:spacing w:after="0" w:line="198" w:lineRule="exact"/>
        <w:rPr>
          <w:sz w:val="20"/>
          <w:szCs w:val="20"/>
          <w:color w:val="auto"/>
        </w:rPr>
      </w:pPr>
    </w:p>
    <w:p>
      <w:pPr>
        <w:ind w:left="980" w:hanging="648"/>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right="580" w:hanging="648"/>
        <w:spacing w:after="0" w:line="344" w:lineRule="auto"/>
        <w:tabs>
          <w:tab w:leader="none" w:pos="9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2" w:lineRule="exact"/>
        <w:rPr>
          <w:sz w:val="20"/>
          <w:szCs w:val="20"/>
          <w:color w:val="auto"/>
        </w:rPr>
      </w:pPr>
    </w:p>
    <w:p>
      <w:pPr>
        <w:ind w:right="700" w:firstLine="170"/>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43180</wp:posOffset>
            </wp:positionV>
            <wp:extent cx="35490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Constance P.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August 9, 2022</w:t>
      </w:r>
    </w:p>
    <w:sectPr>
      <w:pgSz w:w="11900" w:h="16838" w:orient="portrait"/>
      <w:cols w:equalWidth="0" w:num="1">
        <w:col w:w="11240"/>
      </w:cols>
      <w:pgMar w:left="320" w:top="1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5"/>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04"/>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lowerRoman"/>
      <w:start w:val="1"/>
    </w:lvl>
    <w:lvl w:ilvl="1">
      <w:lvlJc w:val="left"/>
      <w:lvlText w:val="(%2)"/>
      <w:numFmt w:val="upperLetter"/>
      <w:start w:val="1"/>
    </w:lvl>
  </w:abstractNum>
  <w:abstractNum w:abstractNumId="22">
    <w:nsid w:val="580BD78F"/>
    <w:multiLevelType w:val="hybridMultilevel"/>
    <w:lvl w:ilvl="0">
      <w:lvlJc w:val="left"/>
      <w:lvlText w:val="(%1)"/>
      <w:numFmt w:val="lowerRoman"/>
      <w:start w:val="2"/>
    </w:lvl>
    <w:lvl w:ilvl="1">
      <w:lvlJc w:val="left"/>
      <w:lvlText w:val="(%2)"/>
      <w:numFmt w:val="upperLetter"/>
      <w:start w:val="2"/>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2"/>
    </w:lvl>
    <w:lvl w:ilvl="1">
      <w:lvlJc w:val="left"/>
      <w:lvlText w:val="(%2)"/>
      <w:numFmt w:val="lowerLetter"/>
      <w:start w:val="1"/>
    </w:lvl>
  </w:abstractNum>
  <w:abstractNum w:abstractNumId="25">
    <w:nsid w:val="70A64E2A"/>
    <w:multiLevelType w:val="hybridMultilevel"/>
    <w:lvl w:ilvl="0">
      <w:lvlJc w:val="left"/>
      <w:lvlText w:val="(%1)"/>
      <w:numFmt w:val="upperLetter"/>
      <w:start w:val="3"/>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upperLetter"/>
      <w:start w:val="1"/>
    </w:lvl>
  </w:abstractNum>
  <w:abstractNum w:abstractNumId="28">
    <w:nsid w:val="1D4ED43B"/>
    <w:multiLevelType w:val="hybridMultilevel"/>
    <w:lvl w:ilvl="0">
      <w:lvlJc w:val="left"/>
      <w:lvlText w:val="(%1)"/>
      <w:numFmt w:val="upperLetter"/>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upperLetter"/>
      <w:start w:val="2"/>
    </w:lvl>
  </w:abstractNum>
  <w:abstractNum w:abstractNumId="32">
    <w:nsid w:val="7A6D8D3C"/>
    <w:multiLevelType w:val="hybridMultilevel"/>
    <w:lvl w:ilvl="0">
      <w:lvlJc w:val="left"/>
      <w:lvlText w:val="(%1)"/>
      <w:numFmt w:val="upperLetter"/>
      <w:start w:val="8"/>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2"/>
    </w:lvl>
  </w:abstractNum>
  <w:abstractNum w:abstractNumId="35">
    <w:nsid w:val="6DE91B18"/>
    <w:multiLevelType w:val="hybridMultilevel"/>
    <w:lvl w:ilvl="0">
      <w:lvlJc w:val="left"/>
      <w:lvlText w:val="(%1)"/>
      <w:numFmt w:val="decimal"/>
      <w:start w:val="7"/>
    </w:lvl>
  </w:abstractNum>
  <w:abstractNum w:abstractNumId="36">
    <w:nsid w:val="38437FDB"/>
    <w:multiLevelType w:val="hybridMultilevel"/>
    <w:lvl w:ilvl="0">
      <w:lvlJc w:val="left"/>
      <w:lvlText w:val="%1."/>
      <w:numFmt w:val="decimal"/>
      <w:start w:val="1"/>
    </w:lvl>
    <w:lvl w:ilvl="1">
      <w:lvlJc w:val="left"/>
      <w:lvlText w:val="(%2)"/>
      <w:numFmt w:val="lowerRoman"/>
      <w:start w:val="1"/>
    </w:lvl>
  </w:abstractNum>
  <w:abstractNum w:abstractNumId="37">
    <w:nsid w:val="7644A45C"/>
    <w:multiLevelType w:val="hybridMultilevel"/>
    <w:lvl w:ilvl="0">
      <w:lvlJc w:val="left"/>
      <w:lvlText w:val="(%1)"/>
      <w:numFmt w:val="lowerRoman"/>
      <w:start w:val="2"/>
    </w:lvl>
  </w:abstractNum>
  <w:abstractNum w:abstractNumId="38">
    <w:nsid w:val="32FFF902"/>
    <w:multiLevelType w:val="hybridMultilevel"/>
    <w:lvl w:ilvl="0">
      <w:lvlJc w:val="left"/>
      <w:lvlText w:val="%1."/>
      <w:numFmt w:val="decimal"/>
      <w:start w:val="3"/>
    </w:lvl>
  </w:abstractNum>
  <w:abstractNum w:abstractNumId="39">
    <w:nsid w:val="684A481A"/>
    <w:multiLevelType w:val="hybridMultilevel"/>
    <w:lvl w:ilvl="0">
      <w:lvlJc w:val="left"/>
      <w:lvlText w:val="%1"/>
      <w:numFmt w:val="decimal"/>
      <w:start w:val="1"/>
    </w:lvl>
    <w:lvl w:ilvl="1">
      <w:lvlJc w:val="left"/>
      <w:lvlText w:val="(%2)"/>
      <w:numFmt w:val="lowerRoman"/>
      <w:start w:val="1"/>
    </w:lvl>
  </w:abstractNum>
  <w:abstractNum w:abstractNumId="40">
    <w:nsid w:val="579478FE"/>
    <w:multiLevelType w:val="hybridMultilevel"/>
    <w:lvl w:ilvl="0">
      <w:lvlJc w:val="left"/>
      <w:lvlText w:val="%1."/>
      <w:numFmt w:val="decimal"/>
      <w:start w:val="4"/>
    </w:lvl>
    <w:lvl w:ilvl="1">
      <w:lvlJc w:val="left"/>
      <w:lvlText w:val="(%2)"/>
      <w:numFmt w:val="lowerRoman"/>
      <w:start w:val="1"/>
    </w:lvl>
  </w:abstractNum>
  <w:abstractNum w:abstractNumId="41">
    <w:nsid w:val="749ABB43"/>
    <w:multiLevelType w:val="hybridMultilevel"/>
    <w:lvl w:ilvl="0">
      <w:lvlJc w:val="left"/>
      <w:lvlText w:val="%1"/>
      <w:numFmt w:val="decimal"/>
      <w:start w:val="1"/>
    </w:lvl>
    <w:lvl w:ilvl="1">
      <w:lvlJc w:val="left"/>
      <w:lvlText w:val="(%2)"/>
      <w:numFmt w:val="lowerRoman"/>
      <w:start w:val="3"/>
    </w:lvl>
  </w:abstractNum>
  <w:abstractNum w:abstractNumId="42">
    <w:nsid w:val="3DC240FB"/>
    <w:multiLevelType w:val="hybridMultilevel"/>
    <w:lvl w:ilvl="0">
      <w:lvlJc w:val="left"/>
      <w:lvlText w:val="%1."/>
      <w:numFmt w:val="decimal"/>
      <w:start w:val="5"/>
    </w:lvl>
    <w:lvl w:ilvl="1">
      <w:lvlJc w:val="left"/>
      <w:lvlText w:val="(%2)"/>
      <w:numFmt w:val="lowerRoman"/>
      <w:start w:val="1"/>
    </w:lvl>
  </w:abstractNum>
  <w:abstractNum w:abstractNumId="43">
    <w:nsid w:val="1BA026FA"/>
    <w:multiLevelType w:val="hybridMultilevel"/>
    <w:lvl w:ilvl="0">
      <w:lvlJc w:val="left"/>
      <w:lvlText w:val="%1."/>
      <w:numFmt w:val="decimal"/>
      <w:start w:val="8"/>
    </w:lvl>
    <w:lvl w:ilvl="1">
      <w:lvlJc w:val="left"/>
      <w:lvlText w:val="*"/>
      <w:numFmt w:val="bullet"/>
      <w:start w:val="1"/>
    </w:lvl>
  </w:abstractNum>
  <w:abstractNum w:abstractNumId="44">
    <w:nsid w:val="79A1DEAA"/>
    <w:multiLevelType w:val="hybridMultilevel"/>
    <w:lvl w:ilvl="0">
      <w:lvlJc w:val="left"/>
      <w:lvlText w:val="%1."/>
      <w:numFmt w:val="decimal"/>
      <w:start w:val="1"/>
    </w:lvl>
    <w:lvl w:ilvl="1">
      <w:lvlJc w:val="left"/>
      <w:lvlText w:val="(%2)"/>
      <w:numFmt w:val="lowerLetter"/>
      <w:start w:val="1"/>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lowerLetter"/>
      <w:start w:val="11"/>
    </w:lvl>
  </w:abstractNum>
  <w:abstractNum w:abstractNumId="47">
    <w:nsid w:val="70C6A529"/>
    <w:multiLevelType w:val="hybridMultilevel"/>
    <w:lvl w:ilvl="0">
      <w:lvlJc w:val="left"/>
      <w:lvlText w:val="(%1)"/>
      <w:numFmt w:val="lowerLetter"/>
      <w:start w:val="14"/>
    </w:lvl>
  </w:abstractNum>
  <w:abstractNum w:abstractNumId="48">
    <w:nsid w:val="520EEDD1"/>
    <w:multiLevelType w:val="hybridMultilevel"/>
    <w:lvl w:ilvl="0">
      <w:lvlJc w:val="left"/>
      <w:lvlText w:val="(%1)"/>
      <w:numFmt w:val="lowerLetter"/>
      <w:start w:val="15"/>
    </w:lvl>
  </w:abstractNum>
  <w:abstractNum w:abstractNumId="49">
    <w:nsid w:val="374A3FE6"/>
    <w:multiLevelType w:val="hybridMultilevel"/>
    <w:lvl w:ilvl="0">
      <w:lvlJc w:val="left"/>
      <w:lvlText w:val="(%1)"/>
      <w:numFmt w:val="lowerLetter"/>
      <w:start w:val="16"/>
    </w:lvl>
  </w:abstractNum>
  <w:abstractNum w:abstractNumId="50">
    <w:nsid w:val="4F4EF005"/>
    <w:multiLevelType w:val="hybridMultilevel"/>
    <w:lvl w:ilvl="0">
      <w:lvlJc w:val="left"/>
      <w:lvlText w:val="(%1)"/>
      <w:numFmt w:val="lowerLetter"/>
      <w:start w:val="17"/>
    </w:lvl>
  </w:abstractNum>
  <w:abstractNum w:abstractNumId="51">
    <w:nsid w:val="23F9C13C"/>
    <w:multiLevelType w:val="hybridMultilevel"/>
    <w:lvl w:ilvl="0">
      <w:lvlJc w:val="left"/>
      <w:lvlText w:val="%1"/>
      <w:numFmt w:val="decimal"/>
      <w:start w:val="1"/>
    </w:lvl>
    <w:lvl w:ilvl="1">
      <w:lvlJc w:val="left"/>
      <w:lvlText w:val="(%2)"/>
      <w:numFmt w:val="lowerLetter"/>
      <w:start w:val="18"/>
    </w:lvl>
  </w:abstractNum>
  <w:abstractNum w:abstractNumId="52">
    <w:nsid w:val="649BB77C"/>
    <w:multiLevelType w:val="hybridMultilevel"/>
    <w:lvl w:ilvl="0">
      <w:lvlJc w:val="left"/>
      <w:lvlText w:val="%1."/>
      <w:numFmt w:val="decimal"/>
      <w:start w:val="2"/>
    </w:lvl>
    <w:lvl w:ilvl="1">
      <w:lvlJc w:val="left"/>
      <w:lvlText w:val="%2"/>
      <w:numFmt w:val="lowerLetter"/>
      <w:start w:val="1"/>
    </w:lvl>
  </w:abstractNum>
  <w:abstractNum w:abstractNumId="53">
    <w:nsid w:val="275AC794"/>
    <w:multiLevelType w:val="hybridMultilevel"/>
    <w:lvl w:ilvl="0">
      <w:lvlJc w:val="left"/>
      <w:lvlText w:val="%1."/>
      <w:numFmt w:val="decimal"/>
      <w:start w:val="4"/>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03" Type="http://schemas.openxmlformats.org/officeDocument/2006/relationships/hyperlink" Target="http://www.sec.gov/Archives/edgar/data/750004/000095015722000499/ex3-1.htm" TargetMode="External"/><Relationship Id="rId104" Type="http://schemas.openxmlformats.org/officeDocument/2006/relationships/hyperlink" Target="http://www.sec.gov/Archives/edgar/data/750004/000095015722000499/ex3-2.htm" TargetMode="External"/><Relationship Id="rId105" Type="http://schemas.openxmlformats.org/officeDocument/2006/relationships/hyperlink" Target="https://www.sec.gov/Archives/edgar/data/750004/000110465922046277/tm2212659d1_ex10-1.htm" TargetMode="External"/><Relationship Id="rId106" Type="http://schemas.openxmlformats.org/officeDocument/2006/relationships/hyperlink" Target="https://www.sec.gov/Archives/edgar/data/750004/00009501572200076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2022-08-09T18:44:08Z</dcterms:created>
  <dcterms:modified xsi:type="dcterms:W3CDTF">2022-08-09T18:44:08Z</dcterms:modified>
</cp:coreProperties>
</file>