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0" w:after="4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60"/>
        <w:jc w:val="center"/>
        <w:rPr/>
      </w:pPr>
      <w:r>
        <w:rPr>
          <w:rFonts w:ascii="Times New Roman;serif" w:hAnsi="Times New Roman;serif"/>
          <w:b/>
          <w:color w:val="000000"/>
          <w:sz w:val="20"/>
        </w:rPr>
        <w:t>Commission file number: 001-11693</w:t>
      </w:r>
      <w:r>
        <w:rPr>
          <w:color w:val="000000"/>
        </w:rPr>
        <w:t> </w:t>
      </w:r>
    </w:p>
    <w:p>
      <w:pPr>
        <w:pStyle w:val="TextBody"/>
        <w:bidi w:val="0"/>
        <w:spacing w:before="0" w:after="6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LIGHT &amp; WONDER,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32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81-0422894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89119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897-7150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44" w:type="dxa"/>
        <w:jc w:val="center"/>
        <w:tblInd w:w="0" w:type="dxa"/>
        <w:tblLayout w:type="fixed"/>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LNW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before="0" w:after="0"/>
        <w:ind w:left="0" w:right="0" w:firstLine="540"/>
        <w:jc w:val="left"/>
        <w:rPr/>
      </w:pPr>
      <w:r>
        <w:rPr/>
      </w:r>
    </w:p>
    <w:p>
      <w:pPr>
        <w:pStyle w:val="TextBody"/>
        <w:bidi w:val="0"/>
        <w:spacing w:lineRule="auto" w:line="288" w:before="0" w:after="160"/>
        <w:ind w:left="0" w:right="0" w:firstLine="54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16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4779"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8"/>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54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32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Common stock outstanding as of October 31, 2025 was 81,523,883.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LIGHT &amp; WONDER,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FINANCIAL AND OTHER INFORMATION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NINE MONTHS ENDED SEPTEMBER 30, 2025</w:t>
      </w:r>
    </w:p>
    <w:tbl>
      <w:tblPr>
        <w:tblW w:w="10205" w:type="dxa"/>
        <w:jc w:val="center"/>
        <w:tblInd w:w="0" w:type="dxa"/>
        <w:tblLayout w:type="fixed"/>
        <w:tblCellMar>
          <w:top w:w="28" w:type="dxa"/>
          <w:left w:w="28" w:type="dxa"/>
          <w:bottom w:w="28" w:type="dxa"/>
          <w:right w:w="28" w:type="dxa"/>
        </w:tblCellMar>
      </w:tblPr>
      <w:tblGrid>
        <w:gridCol w:w="327"/>
        <w:gridCol w:w="287"/>
        <w:gridCol w:w="290"/>
        <w:gridCol w:w="2917"/>
        <w:gridCol w:w="2917"/>
        <w:gridCol w:w="2923"/>
        <w:gridCol w:w="158"/>
        <w:gridCol w:w="158"/>
        <w:gridCol w:w="22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9">
              <w:r>
                <w:rPr>
                  <w:rStyle w:val="InternetLink"/>
                  <w:rFonts w:ascii="Times New Roman;serif" w:hAnsi="Times New Roman;serif"/>
                  <w:b/>
                  <w:color w:val="0000FF"/>
                  <w:sz w:val="20"/>
                  <w:u w:val="single"/>
                </w:rPr>
                <w:t>PART I.</w:t>
              </w:r>
            </w:hyperlink>
            <w:r>
              <w:rPr>
                <w:color w:val="000000"/>
              </w:rPr>
              <w:t xml:space="preserve"> </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9">
              <w:r>
                <w:rPr>
                  <w:rStyle w:val="InternetLink"/>
                  <w:rFonts w:ascii="Times New Roman;serif" w:hAnsi="Times New Roman;serif"/>
                  <w:b/>
                  <w:color w:val="0000FF"/>
                  <w:sz w:val="20"/>
                  <w:u w:val="single"/>
                </w:rPr>
                <w:t>FINANCIAL INFORMATION</w:t>
              </w:r>
            </w:hyperlink>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22">
              <w:r>
                <w:rPr>
                  <w:rStyle w:val="InternetLink"/>
                  <w:rFonts w:ascii="Times New Roman;serif" w:hAnsi="Times New Roman;serif"/>
                  <w:b w:val="false"/>
                  <w:color w:val="0000FF"/>
                  <w:sz w:val="20"/>
                  <w:u w:val="single"/>
                </w:rPr>
                <w:t>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22">
              <w:r>
                <w:rPr>
                  <w:rStyle w:val="InternetLink"/>
                  <w:rFonts w:ascii="Times New Roman;serif" w:hAnsi="Times New Roman;serif"/>
                  <w:b w:val="false"/>
                  <w:color w:val="0000FF"/>
                  <w:sz w:val="20"/>
                  <w:u w:val="single"/>
                </w:rPr>
                <w:t>8</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25">
              <w:r>
                <w:rPr>
                  <w:rStyle w:val="InternetLink"/>
                  <w:rFonts w:ascii="Times New Roman;serif" w:hAnsi="Times New Roman;serif"/>
                  <w:b w:val="false"/>
                  <w:color w:val="000080"/>
                  <w:sz w:val="20"/>
                  <w:u w:val="single"/>
                </w:rPr>
                <w:t xml:space="preserve">Consolidated Statements of Operations for the Three and </w:t>
              </w:r>
            </w:hyperlink>
            <w:hyperlink w:anchor="if7005b18787145e19cab968a0704ea1d_25">
              <w:r>
                <w:rPr>
                  <w:rStyle w:val="InternetLink"/>
                  <w:rFonts w:ascii="Times New Roman;serif" w:hAnsi="Times New Roman;serif"/>
                  <w:b w:val="false"/>
                  <w:color w:val="000080"/>
                  <w:sz w:val="20"/>
                  <w:u w:val="single"/>
                </w:rPr>
                <w:t>Nine</w:t>
              </w:r>
            </w:hyperlink>
            <w:hyperlink w:anchor="if7005b18787145e19cab968a0704ea1d_25">
              <w:r>
                <w:rPr>
                  <w:rStyle w:val="InternetLink"/>
                  <w:rFonts w:ascii="Times New Roman;serif" w:hAnsi="Times New Roman;serif"/>
                  <w:b w:val="false"/>
                  <w:color w:val="000080"/>
                  <w:sz w:val="20"/>
                  <w:u w:val="single"/>
                </w:rPr>
                <w:t xml:space="preserve"> Months Ended </w:t>
              </w:r>
            </w:hyperlink>
            <w:hyperlink w:anchor="if7005b18787145e19cab968a0704ea1d_25">
              <w:r>
                <w:rPr>
                  <w:rStyle w:val="InternetLink"/>
                  <w:rFonts w:ascii="Times New Roman;serif" w:hAnsi="Times New Roman;serif"/>
                  <w:b w:val="false"/>
                  <w:color w:val="000080"/>
                  <w:sz w:val="20"/>
                  <w:u w:val="single"/>
                </w:rPr>
                <w:t>September</w:t>
              </w:r>
            </w:hyperlink>
            <w:hyperlink w:anchor="if7005b18787145e19cab968a0704ea1d_25">
              <w:r>
                <w:rPr>
                  <w:rStyle w:val="InternetLink"/>
                  <w:rFonts w:ascii="Times New Roman;serif" w:hAnsi="Times New Roman;serif"/>
                  <w:b w:val="false"/>
                  <w:color w:val="000080"/>
                  <w:sz w:val="20"/>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25">
              <w:r>
                <w:rPr>
                  <w:rStyle w:val="InternetLink"/>
                  <w:rFonts w:ascii="Times New Roman;serif" w:hAnsi="Times New Roman;serif"/>
                  <w:b w:val="false"/>
                  <w:color w:val="0000FF"/>
                  <w:sz w:val="20"/>
                  <w:u w:val="single"/>
                </w:rPr>
                <w:t>8</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28">
              <w:r>
                <w:rPr>
                  <w:rStyle w:val="InternetLink"/>
                  <w:rFonts w:ascii="Times New Roman;serif" w:hAnsi="Times New Roman;serif"/>
                  <w:b w:val="false"/>
                  <w:color w:val="000080"/>
                  <w:sz w:val="20"/>
                  <w:u w:val="single"/>
                </w:rPr>
                <w:t>Consolidated Statements of Comprehensive Income for the Three and</w:t>
              </w:r>
            </w:hyperlink>
            <w:hyperlink w:anchor="if7005b18787145e19cab968a0704ea1d_28">
              <w:r>
                <w:rPr>
                  <w:rStyle w:val="InternetLink"/>
                  <w:rFonts w:ascii="Times New Roman;serif" w:hAnsi="Times New Roman;serif"/>
                  <w:b w:val="false"/>
                  <w:color w:val="000080"/>
                  <w:sz w:val="20"/>
                  <w:u w:val="single"/>
                </w:rPr>
                <w:t xml:space="preserve"> Nine</w:t>
              </w:r>
            </w:hyperlink>
            <w:hyperlink w:anchor="if7005b18787145e19cab968a0704ea1d_28">
              <w:r>
                <w:rPr>
                  <w:rStyle w:val="InternetLink"/>
                  <w:rFonts w:ascii="Times New Roman;serif" w:hAnsi="Times New Roman;serif"/>
                  <w:b w:val="false"/>
                  <w:color w:val="000080"/>
                  <w:sz w:val="20"/>
                  <w:u w:val="single"/>
                </w:rPr>
                <w:t xml:space="preserve"> Months Ended </w:t>
              </w:r>
            </w:hyperlink>
            <w:hyperlink w:anchor="if7005b18787145e19cab968a0704ea1d_28">
              <w:r>
                <w:rPr>
                  <w:rStyle w:val="InternetLink"/>
                  <w:rFonts w:ascii="Times New Roman;serif" w:hAnsi="Times New Roman;serif"/>
                  <w:b w:val="false"/>
                  <w:color w:val="000080"/>
                  <w:sz w:val="20"/>
                  <w:u w:val="single"/>
                </w:rPr>
                <w:t>September</w:t>
              </w:r>
            </w:hyperlink>
            <w:hyperlink w:anchor="if7005b18787145e19cab968a0704ea1d_28">
              <w:r>
                <w:rPr>
                  <w:rStyle w:val="InternetLink"/>
                  <w:rFonts w:ascii="Times New Roman;serif" w:hAnsi="Times New Roman;serif"/>
                  <w:b w:val="false"/>
                  <w:color w:val="000080"/>
                  <w:sz w:val="20"/>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28">
              <w:r>
                <w:rPr>
                  <w:rStyle w:val="InternetLink"/>
                  <w:rFonts w:ascii="Times New Roman;serif" w:hAnsi="Times New Roman;serif"/>
                  <w:b w:val="false"/>
                  <w:color w:val="0000FF"/>
                  <w:sz w:val="20"/>
                  <w:u w:val="single"/>
                </w:rPr>
                <w:t>9</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31">
              <w:r>
                <w:rPr>
                  <w:rStyle w:val="InternetLink"/>
                  <w:rFonts w:ascii="Times New Roman;serif" w:hAnsi="Times New Roman;serif"/>
                  <w:b w:val="false"/>
                  <w:color w:val="000080"/>
                  <w:sz w:val="20"/>
                  <w:u w:val="single"/>
                </w:rPr>
                <w:t xml:space="preserve">Consolidated Balance Sheets as of </w:t>
              </w:r>
            </w:hyperlink>
            <w:hyperlink w:anchor="if7005b18787145e19cab968a0704ea1d_31">
              <w:r>
                <w:rPr>
                  <w:rStyle w:val="InternetLink"/>
                  <w:rFonts w:ascii="Times New Roman;serif" w:hAnsi="Times New Roman;serif"/>
                  <w:b w:val="false"/>
                  <w:color w:val="000080"/>
                  <w:sz w:val="20"/>
                  <w:u w:val="single"/>
                </w:rPr>
                <w:t>September</w:t>
              </w:r>
            </w:hyperlink>
            <w:hyperlink w:anchor="if7005b18787145e19cab968a0704ea1d_31">
              <w:r>
                <w:rPr>
                  <w:rStyle w:val="InternetLink"/>
                  <w:rFonts w:ascii="Times New Roman;serif" w:hAnsi="Times New Roman;serif"/>
                  <w:b w:val="false"/>
                  <w:color w:val="000080"/>
                  <w:sz w:val="20"/>
                  <w:u w:val="single"/>
                </w:rPr>
                <w:t xml:space="preserve"> 30, 2025 and December 31,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31">
              <w:r>
                <w:rPr>
                  <w:rStyle w:val="InternetLink"/>
                  <w:rFonts w:ascii="Times New Roman;serif" w:hAnsi="Times New Roman;serif"/>
                  <w:b w:val="false"/>
                  <w:color w:val="0000FF"/>
                  <w:sz w:val="20"/>
                  <w:u w:val="single"/>
                </w:rPr>
                <w:t>10</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34">
              <w:r>
                <w:rPr>
                  <w:rStyle w:val="InternetLink"/>
                  <w:rFonts w:ascii="Times New Roman;serif" w:hAnsi="Times New Roman;serif"/>
                  <w:b w:val="false"/>
                  <w:color w:val="000080"/>
                  <w:sz w:val="20"/>
                  <w:u w:val="single"/>
                </w:rPr>
                <w:t xml:space="preserve">Condensed Consolidated Statements of Cash Flows for the </w:t>
              </w:r>
            </w:hyperlink>
            <w:hyperlink w:anchor="if7005b18787145e19cab968a0704ea1d_34">
              <w:r>
                <w:rPr>
                  <w:rStyle w:val="InternetLink"/>
                  <w:rFonts w:ascii="Times New Roman;serif" w:hAnsi="Times New Roman;serif"/>
                  <w:b w:val="false"/>
                  <w:color w:val="000080"/>
                  <w:sz w:val="20"/>
                  <w:u w:val="single"/>
                </w:rPr>
                <w:t>Nine</w:t>
              </w:r>
            </w:hyperlink>
            <w:hyperlink w:anchor="if7005b18787145e19cab968a0704ea1d_34">
              <w:r>
                <w:rPr>
                  <w:rStyle w:val="InternetLink"/>
                  <w:rFonts w:ascii="Times New Roman;serif" w:hAnsi="Times New Roman;serif"/>
                  <w:b w:val="false"/>
                  <w:color w:val="000080"/>
                  <w:sz w:val="20"/>
                  <w:u w:val="single"/>
                </w:rPr>
                <w:t xml:space="preserve"> Months Ended </w:t>
              </w:r>
            </w:hyperlink>
            <w:hyperlink w:anchor="if7005b18787145e19cab968a0704ea1d_34">
              <w:r>
                <w:rPr>
                  <w:rStyle w:val="InternetLink"/>
                  <w:rFonts w:ascii="Times New Roman;serif" w:hAnsi="Times New Roman;serif"/>
                  <w:b w:val="false"/>
                  <w:color w:val="000080"/>
                  <w:sz w:val="20"/>
                  <w:u w:val="single"/>
                </w:rPr>
                <w:t>September</w:t>
              </w:r>
            </w:hyperlink>
            <w:hyperlink w:anchor="if7005b18787145e19cab968a0704ea1d_34">
              <w:r>
                <w:rPr>
                  <w:rStyle w:val="InternetLink"/>
                  <w:rFonts w:ascii="Times New Roman;serif" w:hAnsi="Times New Roman;serif"/>
                  <w:b w:val="false"/>
                  <w:color w:val="000080"/>
                  <w:sz w:val="20"/>
                  <w:u w:val="single"/>
                </w:rPr>
                <w:t xml:space="preserve"> 30,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34">
              <w:r>
                <w:rPr>
                  <w:rStyle w:val="InternetLink"/>
                  <w:rFonts w:ascii="Times New Roman;serif" w:hAnsi="Times New Roman;serif"/>
                  <w:b w:val="false"/>
                  <w:color w:val="0000FF"/>
                  <w:sz w:val="20"/>
                  <w:u w:val="single"/>
                </w:rPr>
                <w:t>11</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37">
              <w:r>
                <w:rPr>
                  <w:rStyle w:val="InternetLink"/>
                  <w:rFonts w:ascii="Times New Roman;serif" w:hAnsi="Times New Roman;serif"/>
                  <w:b w:val="false"/>
                  <w:color w:val="0000FF"/>
                  <w:sz w:val="20"/>
                  <w:u w:val="single"/>
                </w:rPr>
                <w:t>Notes to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37">
              <w:r>
                <w:rPr>
                  <w:rStyle w:val="InternetLink"/>
                  <w:rFonts w:ascii="Times New Roman;serif" w:hAnsi="Times New Roman;serif"/>
                  <w:b w:val="false"/>
                  <w:color w:val="0000FF"/>
                  <w:sz w:val="20"/>
                  <w:u w:val="single"/>
                </w:rPr>
                <w:t>12</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91">
              <w:r>
                <w:rPr>
                  <w:rStyle w:val="InternetLink"/>
                  <w:rFonts w:ascii="Times New Roman;serif" w:hAnsi="Times New Roman;serif"/>
                  <w:b w:val="false"/>
                  <w:color w:val="0000FF"/>
                  <w:sz w:val="20"/>
                  <w:u w:val="single"/>
                </w:rPr>
                <w:t>33</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27">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27">
              <w:r>
                <w:rPr>
                  <w:rStyle w:val="InternetLink"/>
                  <w:rFonts w:ascii="Times New Roman;serif" w:hAnsi="Times New Roman;serif"/>
                  <w:b w:val="false"/>
                  <w:color w:val="0000FF"/>
                  <w:sz w:val="20"/>
                  <w:u w:val="single"/>
                </w:rPr>
                <w:t>44</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30">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30">
              <w:r>
                <w:rPr>
                  <w:rStyle w:val="InternetLink"/>
                  <w:rFonts w:ascii="Times New Roman;serif" w:hAnsi="Times New Roman;serif"/>
                  <w:b w:val="false"/>
                  <w:color w:val="0000FF"/>
                  <w:sz w:val="20"/>
                  <w:u w:val="single"/>
                </w:rPr>
                <w:t>44</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33">
              <w:r>
                <w:rPr>
                  <w:rStyle w:val="InternetLink"/>
                  <w:rFonts w:ascii="Times New Roman;serif" w:hAnsi="Times New Roman;serif"/>
                  <w:b/>
                  <w:color w:val="0000FF"/>
                  <w:sz w:val="20"/>
                  <w:u w:val="single"/>
                </w:rPr>
                <w:t>PART II.</w:t>
              </w:r>
            </w:hyperlink>
            <w:r>
              <w:rPr>
                <w:color w:val="000000"/>
              </w:rPr>
              <w:t xml:space="preserve"> </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33">
              <w:r>
                <w:rPr>
                  <w:rStyle w:val="InternetLink"/>
                  <w:rFonts w:ascii="Times New Roman;serif" w:hAnsi="Times New Roman;serif"/>
                  <w:b/>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33">
              <w:r>
                <w:rPr>
                  <w:rStyle w:val="InternetLink"/>
                  <w:rFonts w:ascii="Times New Roman;serif" w:hAnsi="Times New Roman;serif"/>
                  <w:b w:val="false"/>
                  <w:color w:val="0000FF"/>
                  <w:sz w:val="20"/>
                  <w:u w:val="single"/>
                </w:rPr>
                <w:t>44</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36">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36">
              <w:r>
                <w:rPr>
                  <w:rStyle w:val="InternetLink"/>
                  <w:rFonts w:ascii="Times New Roman;serif" w:hAnsi="Times New Roman;serif"/>
                  <w:b w:val="false"/>
                  <w:color w:val="0000FF"/>
                  <w:sz w:val="20"/>
                  <w:u w:val="single"/>
                </w:rPr>
                <w:t>44</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39">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39">
              <w:r>
                <w:rPr>
                  <w:rStyle w:val="InternetLink"/>
                  <w:rFonts w:ascii="Times New Roman;serif" w:hAnsi="Times New Roman;serif"/>
                  <w:b w:val="false"/>
                  <w:color w:val="0000FF"/>
                  <w:sz w:val="20"/>
                  <w:u w:val="single"/>
                </w:rPr>
                <w:t>44</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42">
              <w:r>
                <w:rPr>
                  <w:rStyle w:val="InternetLink"/>
                  <w:rFonts w:ascii="Times New Roman;serif" w:hAnsi="Times New Roman;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42">
              <w:r>
                <w:rPr>
                  <w:rStyle w:val="InternetLink"/>
                  <w:rFonts w:ascii="Times New Roman;serif" w:hAnsi="Times New Roman;serif"/>
                  <w:b w:val="false"/>
                  <w:color w:val="0000FF"/>
                  <w:sz w:val="20"/>
                  <w:u w:val="single"/>
                </w:rPr>
                <w:t>46</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45">
              <w:r>
                <w:rPr>
                  <w:rStyle w:val="InternetLink"/>
                  <w:rFonts w:ascii="Times New Roman;serif" w:hAnsi="Times New Roman;serif"/>
                  <w:b w:val="false"/>
                  <w:color w:val="0000FF"/>
                  <w:sz w:val="20"/>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45">
              <w:r>
                <w:rPr>
                  <w:rStyle w:val="InternetLink"/>
                  <w:rFonts w:ascii="Times New Roman;serif" w:hAnsi="Times New Roman;serif"/>
                  <w:b w:val="false"/>
                  <w:color w:val="0000FF"/>
                  <w:sz w:val="20"/>
                  <w:u w:val="single"/>
                </w:rPr>
                <w:t>47</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48">
              <w:r>
                <w:rPr>
                  <w:rStyle w:val="InternetLink"/>
                  <w:rFonts w:ascii="Times New Roman;serif" w:hAnsi="Times New Roman;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48">
              <w:r>
                <w:rPr>
                  <w:rStyle w:val="InternetLink"/>
                  <w:rFonts w:ascii="Times New Roman;serif" w:hAnsi="Times New Roman;serif"/>
                  <w:b w:val="false"/>
                  <w:color w:val="0000FF"/>
                  <w:sz w:val="20"/>
                  <w:u w:val="single"/>
                </w:rPr>
                <w:t>47</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51">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51">
              <w:r>
                <w:rPr>
                  <w:rStyle w:val="InternetLink"/>
                  <w:rFonts w:ascii="Times New Roman;serif" w:hAnsi="Times New Roman;serif"/>
                  <w:b w:val="false"/>
                  <w:color w:val="0000FF"/>
                  <w:sz w:val="20"/>
                  <w:u w:val="single"/>
                </w:rPr>
                <w:t>47</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05b18787145e19cab968a0704ea1d_154">
              <w:r>
                <w:rPr>
                  <w:rStyle w:val="InternetLink"/>
                  <w:rFonts w:ascii="Times New Roman;serif" w:hAnsi="Times New Roman;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005b18787145e19cab968a0704ea1d_154">
              <w:r>
                <w:rPr>
                  <w:rStyle w:val="InternetLink"/>
                  <w:rFonts w:ascii="Times New Roman;serif" w:hAnsi="Times New Roman;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terms or acronyms used in this Quarterly Report on Form 10-Q are defined below:</w:t>
      </w:r>
    </w:p>
    <w:tbl>
      <w:tblPr>
        <w:tblW w:w="10205" w:type="dxa"/>
        <w:jc w:val="center"/>
        <w:tblInd w:w="0" w:type="dxa"/>
        <w:tblLayout w:type="fixed"/>
        <w:tblCellMar>
          <w:top w:w="28" w:type="dxa"/>
          <w:left w:w="28" w:type="dxa"/>
          <w:bottom w:w="28" w:type="dxa"/>
          <w:right w:w="28" w:type="dxa"/>
        </w:tblCellMar>
      </w:tblPr>
      <w:tblGrid>
        <w:gridCol w:w="629"/>
        <w:gridCol w:w="351"/>
        <w:gridCol w:w="353"/>
        <w:gridCol w:w="109"/>
        <w:gridCol w:w="109"/>
        <w:gridCol w:w="109"/>
        <w:gridCol w:w="2994"/>
        <w:gridCol w:w="2295"/>
        <w:gridCol w:w="3256"/>
      </w:tblGrid>
      <w:tr>
        <w:trPr/>
        <w:tc>
          <w:tcPr>
            <w:tcW w:w="6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Annual Report on Form 10-K filed with SEC on February 25, 2025</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7.000% senior unsecured notes due 2028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7.250% senior unsecured notes due 2029 issued by LNWI</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7.500% senior unsecured notes due 2031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unsecured notes due 2033 issued by LNWI</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our primary performance measure of profit or loss for our business segments</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Securities Exchange</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casino-management system</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 (excluding goodwill)</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 Gaming charitable business acquired on May 16, 2025</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KPIs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Performance Indicators</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betting office</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and Wonder International, Inc., a wholly-owned subsidiary of L&amp;W and successor to Scientific Games International, Inc.</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May 15, 2025, among LNWI, as the borrower, L&amp;W, as a guarantor, the lenders from time to time party thereto, JPMorgan Chase Bank, N.A., as Administrative Agent and Collateral Agent, JPMorgan Chase Bank, N.A., BofA Securities, Inc., Wells Fargo Securities, LLC, PNC Capital Markets LLC, Truist Securities, Inc., Citizens Bank, N.A., Sumitomo Mitsui Banking Corporation, BNP Paribas Securities Corp., KeyBanc Capital Markets Inc., U.S. Bank National Association, Fifth Third Bank, National Association, Goldman Sachs Bank USA and Morgan Stanley Senior Funding, Inc. as Joint Lead Arrangers and Joint Bookrunners and Deutsche Bank Securities Inc., as Co-Documentation Agent, as amended, restated, amended and restated, supplemented or otherwise modified from time to time</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with aggregate commitments of $1.0 billion extended pursuant to the LNWI Credit Agreement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 provided for by the LNWI Credit Agreement A</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 provided for by the LNWI Credit Agreement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note in the Notes to Consolidated Financial Statements in this Quarterly Report on Form 10-Q, unless otherwise indicated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the 2028 Unsecured Notes, 2029 Unsecured Notes, 2031 Unsecured Notes and 2033 Unsecured Notes, collectively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9401" w:type="dxa"/>
        <w:jc w:val="center"/>
        <w:tblInd w:w="0" w:type="dxa"/>
        <w:tblLayout w:type="fixed"/>
        <w:tblCellMar>
          <w:top w:w="28" w:type="dxa"/>
          <w:left w:w="28" w:type="dxa"/>
          <w:bottom w:w="28" w:type="dxa"/>
          <w:right w:w="28" w:type="dxa"/>
        </w:tblCellMar>
      </w:tblPr>
      <w:tblGrid>
        <w:gridCol w:w="609"/>
        <w:gridCol w:w="534"/>
        <w:gridCol w:w="537"/>
        <w:gridCol w:w="109"/>
        <w:gridCol w:w="109"/>
        <w:gridCol w:w="109"/>
        <w:gridCol w:w="2160"/>
        <w:gridCol w:w="2160"/>
        <w:gridCol w:w="307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 models of automatic card shufflers, deck checkers and roulette chip sorters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50 states in the U.S. plus the District of Columbia, U.S. Virgin Islands and Puerto Rico</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VGT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gaming terminal</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lottery terminal</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Intellectual Property Rights</w:t>
      </w:r>
    </w:p>
    <w:p>
      <w:pPr>
        <w:pStyle w:val="TextBody"/>
        <w:bidi w:val="0"/>
        <w:spacing w:lineRule="auto" w:line="288" w:before="0" w:after="160"/>
        <w:jc w:val="left"/>
        <w:rPr/>
      </w:pPr>
      <w:r>
        <w:rPr>
          <w:rFonts w:ascii="Times New Roman;serif" w:hAnsi="Times New Roman;serif"/>
          <w:b w:val="false"/>
          <w:color w:val="000000"/>
          <w:sz w:val="20"/>
        </w:rPr>
        <w:t xml:space="preserve">All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notices signify marks registered in the United States. © 2025 Light &amp; Wonder, Inc. All Rights Reserved.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2025 Hasbro. All Rights Reserved. Licensed by Hasbro.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Frankenstein is a trademark and copyright of Universal Studios. Licensed by Universal. All Rights Reserved.</w:t>
      </w:r>
    </w:p>
    <w:p>
      <w:pPr>
        <w:pStyle w:val="TextBody"/>
        <w:bidi w:val="0"/>
        <w:spacing w:lineRule="auto" w:line="288" w:before="0" w:after="160"/>
        <w:jc w:val="left"/>
        <w:rPr/>
      </w:pPr>
      <w:r>
        <w:rPr>
          <w:rFonts w:ascii="Times New Roman;serif" w:hAnsi="Times New Roman;serif"/>
          <w:b w:val="false"/>
          <w:color w:val="000000"/>
          <w:sz w:val="20"/>
        </w:rPr>
        <w:t>UNIVERSAL MONSTERS™</w:t>
      </w:r>
      <w:r>
        <w:rPr>
          <w:color w:val="000000"/>
        </w:rPr>
        <w:t xml:space="preserve"> </w:t>
      </w:r>
      <w:r>
        <w:rPr>
          <w:rFonts w:ascii="Times New Roman;serif" w:hAnsi="Times New Roman;serif"/>
          <w:b w:val="false"/>
          <w:color w:val="000000"/>
          <w:sz w:val="20"/>
        </w:rPr>
        <w:t>The Universal Studios Monsters are trademarks and copyrights of Universal Studios. Licensed by Universal. All Rights Reserved.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KONG: SKULL ISLAND and all related characters and elements © Warner Bros. Entertainment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inability to successfully execute our strategy;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public perception of our response to environmental, social and governance issues;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progress under, or the elimination of, our share repurchase program;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resulting pricing variations and other impacts of our common stock being listed to trade on more than one stock exchange;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inability to further reduce or refinance our indebtedness;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inability to win, retain or renew, or unfavorable revisions of, existing contracts, and the inability to enter into new contracts;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to retain key management and employees;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demand for our products and services;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dependence on suppliers and manufacturers;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SciPlay’s dependence on certain key providers;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ownership changes and consolidation in the gaming industry;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fluctuations in our results due to seasonality and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risk that any potential disruptions from the Grover acquisition will harm relationships with customers, employees and suppliers;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possibility that the Company may be unable to achieve expected financial, operational and strategic benefits of the Grover acquisition and may not be able to successfully integrate Grover into the Company’s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risks as a result of being publicly traded in the United States and Australia, including price variations and other impacts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relating to the current dual listing of the Company’s common stock on the ASX and Nasdaq;</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risks relating to transitioning, or failing to transition, to a sole primary listing on the ASX, including delisting the Company’s common stock from Nasdaq, which could negatively affect the liquidity and trading prices of our common stock, impact our access to the capital markets and result in less or differing disclosure about the Company, as well as additional regulation which the Company is not currently familiar with;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possibility that we may be unable to achieve expected operational, strategic and financial benefits of the SciPlay merger;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security and integrity of our products and systems, including the impact of any security breaches or cyber-attacks;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reliance on or failures in information technology and other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litigation and other liabilities relating to our business, including litigation and liabilities relating to our contracts and licenses, our products and systems (including further developments in the Dragon Train litigation described under “Aristocrat Matters” in Note 15), our employees (including labor disputes), intellectual property, environmental laws and our strategic relationships;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reliance on technological blocking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challenges or disruptions relating to the completion of the domestic migration to our enterprise resource planning system;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laws, government regulations and potential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legislative interpretation and enforcement, regulatory perception and regulatory risks with respect to gaming, including Internet wagering, social gaming and sweep-stakes;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opposition to legalized gaming or the expansion thereof and potential restrictions on Internet wagering;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expectations of shift to regulated digital gaming;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continuing evolution of the scope of data privacy and security regulations, and our belief that the adoption of increasingly restrictive regulations in this area is likely within the U.S. and other jurisdictions;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incurrence of restructuring costs;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to maintain adequate internal control over financial reporting;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dependence on key executives;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natural events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expectations of growth in total consumer spending on social casino gaming.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serif" w:hAnsi="Times New Roman;serif"/>
          <w:b w:val="false"/>
          <w:i/>
          <w:color w:val="000000"/>
          <w:sz w:val="20"/>
        </w:rPr>
        <w:t>Part II, Item 1A</w:t>
      </w:r>
      <w:r>
        <w:rPr>
          <w:color w:val="000000"/>
        </w:rPr>
        <w:t xml:space="preserve"> </w:t>
      </w:r>
      <w:r>
        <w:rPr>
          <w:rFonts w:ascii="Times New Roman;serif" w:hAnsi="Times New Roman;serif"/>
          <w:b w:val="false"/>
          <w:color w:val="000000"/>
          <w:sz w:val="20"/>
        </w:rPr>
        <w:t xml:space="preserve">of this Quarterly Report on Form 10-Q and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in our 2024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rounding, certain numbers presented herein may not precisely recalculate.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1637"/>
        <w:gridCol w:w="1400"/>
        <w:gridCol w:w="1375"/>
        <w:gridCol w:w="282"/>
        <w:gridCol w:w="684"/>
        <w:gridCol w:w="145"/>
        <w:gridCol w:w="145"/>
        <w:gridCol w:w="145"/>
        <w:gridCol w:w="145"/>
        <w:gridCol w:w="282"/>
        <w:gridCol w:w="684"/>
        <w:gridCol w:w="145"/>
        <w:gridCol w:w="109"/>
        <w:gridCol w:w="109"/>
        <w:gridCol w:w="109"/>
        <w:gridCol w:w="254"/>
        <w:gridCol w:w="742"/>
        <w:gridCol w:w="131"/>
        <w:gridCol w:w="131"/>
        <w:gridCol w:w="131"/>
        <w:gridCol w:w="131"/>
        <w:gridCol w:w="254"/>
        <w:gridCol w:w="742"/>
        <w:gridCol w:w="131"/>
        <w:gridCol w:w="162"/>
      </w:tblGrid>
      <w:tr>
        <w:trPr/>
        <w:tc>
          <w:tcPr>
            <w:tcW w:w="163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per share calculations: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Excludes D&amp;A.</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561"/>
        <w:gridCol w:w="1370"/>
        <w:gridCol w:w="1383"/>
        <w:gridCol w:w="304"/>
        <w:gridCol w:w="673"/>
        <w:gridCol w:w="157"/>
        <w:gridCol w:w="157"/>
        <w:gridCol w:w="157"/>
        <w:gridCol w:w="157"/>
        <w:gridCol w:w="304"/>
        <w:gridCol w:w="673"/>
        <w:gridCol w:w="157"/>
        <w:gridCol w:w="109"/>
        <w:gridCol w:w="109"/>
        <w:gridCol w:w="109"/>
        <w:gridCol w:w="295"/>
        <w:gridCol w:w="654"/>
        <w:gridCol w:w="153"/>
        <w:gridCol w:w="153"/>
        <w:gridCol w:w="153"/>
        <w:gridCol w:w="153"/>
        <w:gridCol w:w="295"/>
        <w:gridCol w:w="654"/>
        <w:gridCol w:w="153"/>
        <w:gridCol w:w="162"/>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unrealized loss,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763"/>
        <w:gridCol w:w="2283"/>
        <w:gridCol w:w="2240"/>
        <w:gridCol w:w="290"/>
        <w:gridCol w:w="847"/>
        <w:gridCol w:w="150"/>
        <w:gridCol w:w="109"/>
        <w:gridCol w:w="109"/>
        <w:gridCol w:w="109"/>
        <w:gridCol w:w="280"/>
        <w:gridCol w:w="817"/>
        <w:gridCol w:w="208"/>
      </w:tblGrid>
      <w:tr>
        <w:trPr/>
        <w:tc>
          <w:tcPr>
            <w:tcW w:w="276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$28 and $35, respectively</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$5</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199 shares authorized; 119 and 117 shares issued, respectively, and 83 and 86 shares outstanding, respectively</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36 and 31 shares, respectively</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28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86" w:type="dxa"/>
            <w:gridSpan w:val="3"/>
            <w:tcBorders/>
            <w:vAlign w:val="center"/>
          </w:tcPr>
          <w:p>
            <w:pPr>
              <w:pStyle w:val="TableContents"/>
              <w:bidi w:val="0"/>
              <w:spacing w:before="0" w:after="283"/>
              <w:jc w:val="left"/>
              <w:rPr>
                <w:sz w:val="4"/>
                <w:szCs w:val="4"/>
              </w:rPr>
            </w:pPr>
            <w:r>
              <w:rPr>
                <w:sz w:val="4"/>
                <w:szCs w:val="4"/>
              </w:rPr>
            </w:r>
          </w:p>
        </w:tc>
        <w:tc>
          <w:tcPr>
            <w:tcW w:w="291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980" w:type="dxa"/>
        <w:jc w:val="center"/>
        <w:tblInd w:w="0" w:type="dxa"/>
        <w:tblLayout w:type="fixed"/>
        <w:tblCellMar>
          <w:top w:w="28" w:type="dxa"/>
          <w:left w:w="28" w:type="dxa"/>
          <w:bottom w:w="28" w:type="dxa"/>
          <w:right w:w="28" w:type="dxa"/>
        </w:tblCellMar>
      </w:tblPr>
      <w:tblGrid>
        <w:gridCol w:w="2502"/>
        <w:gridCol w:w="2203"/>
        <w:gridCol w:w="2209"/>
        <w:gridCol w:w="311"/>
        <w:gridCol w:w="688"/>
        <w:gridCol w:w="161"/>
        <w:gridCol w:w="161"/>
        <w:gridCol w:w="161"/>
        <w:gridCol w:w="161"/>
        <w:gridCol w:w="311"/>
        <w:gridCol w:w="688"/>
        <w:gridCol w:w="161"/>
        <w:gridCol w:w="109"/>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assets, net of cash acquired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Repayments under revolving credit facility </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 and term loans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(including redemption premium)</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deferred financing costs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license obligations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acquisition considerations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L&amp;W common stock</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redemptions of common stock under stock-based compensation plans and 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contingent acquisition considerations included in operating activities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transactions: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066" w:type="dxa"/>
            <w:gridSpan w:val="11"/>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USD, table amounts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 Description of the Business and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2024 10-K. Interim results of operations are not necessarily indicative of results of operations to be expected for a full year.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significant accounting policies described within the Notes of our 2024 10-K.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Acquisition of Grover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16, 2025, we completed the acquisition of Grover Charitable Gaming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pull-tabs currently distributed over five U.S. states: North Dakota, Ohio, Virginia, Kentucky and New Hampshire.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accounted for this acquisition using the acquisition method of accounting whereby the total purchase price was allocated to tangible and intangible assets acquired and liabilities assumed based on respective estimated fair values. The estimated fair values of the acquired assets, assumed liabilities and resulting goodwill are subject to adjustment as we finalize our purchase price accounting, and such adjustments could be material.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incurred $14 million in acquisition-related costs, which were recorded in restructuring and other for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purchase price, which is expected to be finalized by December 31, 2025:</w:t>
      </w:r>
    </w:p>
    <w:tbl>
      <w:tblPr>
        <w:tblW w:w="10205" w:type="dxa"/>
        <w:jc w:val="left"/>
        <w:tblInd w:w="0" w:type="dxa"/>
        <w:tblLayout w:type="fixed"/>
        <w:tblCellMar>
          <w:top w:w="28" w:type="dxa"/>
          <w:left w:w="28" w:type="dxa"/>
          <w:bottom w:w="28" w:type="dxa"/>
          <w:right w:w="28" w:type="dxa"/>
        </w:tblCellMar>
      </w:tblPr>
      <w:tblGrid>
        <w:gridCol w:w="2582"/>
        <w:gridCol w:w="2181"/>
        <w:gridCol w:w="2188"/>
        <w:gridCol w:w="244"/>
        <w:gridCol w:w="244"/>
        <w:gridCol w:w="244"/>
        <w:gridCol w:w="639"/>
        <w:gridCol w:w="1412"/>
        <w:gridCol w:w="471"/>
      </w:tblGrid>
      <w:tr>
        <w:trPr/>
        <w:tc>
          <w:tcPr>
            <w:tcW w:w="258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May 16, 2025</w:t>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and non-current liabilities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transferred:</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net of purchase price adjustments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contingent consideration</w:t>
            </w:r>
            <w:r>
              <w:rPr>
                <w:rFonts w:ascii="Times New Roman;serif" w:hAnsi="Times New Roman;serif"/>
                <w:b w:val="false"/>
                <w:color w:val="000000"/>
                <w:sz w:val="13"/>
              </w:rPr>
              <w:t>(1)</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consideration transferred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fair value was determined using an income approach primarily based on reaching certain revenue-based metrics, with a discount rate of 6% and a maximum payout of up to $200 million.</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and other current and non-current assets and liabilities were valued at the existing carrying values, which approximated their estimated fair values. The fair value of property and equipment, which primarily consisted of electronic pull tab gaming devices, was determined using replacement cost and cost-plus pricing.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intangible assets that have been preliminarily identified were determined using a combination of the excess earnings method and the relief from royalty method using Level 3 inputs in the fair value hierarchy established by ASC 820. The discount rates used in the valuation analysis ranged between 14% and 15%, and the royalty rates used were between 2% and 18%. The following table details the intangible assets that have been preliminarily identified: </w:t>
      </w:r>
    </w:p>
    <w:tbl>
      <w:tblPr>
        <w:tblW w:w="666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45"/>
        <w:gridCol w:w="543"/>
        <w:gridCol w:w="127"/>
        <w:gridCol w:w="109"/>
        <w:gridCol w:w="109"/>
        <w:gridCol w:w="109"/>
        <w:gridCol w:w="907"/>
        <w:gridCol w:w="907"/>
        <w:gridCol w:w="129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Useful Life (Years) </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6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Primarily consists of game content and platform technology.</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factors contributing to the recognition of acquired goodwill are based on enhanced financial and operational scale, market diversification and expansion, expected synergies, assembled workforce and other strategic benefits. We expect the resultant goodwill to be deductible for income tax purposes.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Grover revenue and net income since the acquisition date and through September 30, 2025 included in the consolidated statements of operations and comprehensive income were not material. The Grover operating segment was aggregated with our Gaming reportable business segment.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Computation of Basic and Diluted Net Income Per Share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 are based upon net income divided by the weighted average number of common shares outstanding during the period. Diluted net income per share reflects the effect of the assumed exercise of stock options and vesting of RSUs only in the periods in which such effect would have been dilutive to net income.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we included 1 million and 2 million, respectively, of common stock equivalents in the calculation of diluted net income per share. For both the three and nine months ended September 30, 2024, we included 2 million of common stock equivalents in the calculation of diluted net income per share.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New Accounting Guidance - Not Yet Adopted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2025-06, under Subtopic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 xml:space="preserve">in September 2025. The new guidance aims to modernize the accounting for internal-use capitalized software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and removes all references to prescriptive and sequential software development stages (referred to as “project stages”) throughout Subtopic 350-40. An entity is therefore required to start capitalizing internal-use software costs when management has authorized and committed to funding the software project, and when it is probable that the project will be completed and the software will be used to perform the function intended (the “probable-to-complete” recognition threshold). The amendments in ASU No. 2025-06 are effective for all public entities for fiscal years beginning after December 15, 2027, and early adoption as of the beginning of an annual period is permitted. We are currently evaluating the impact of adopting this guidance.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since those described within Note 1 of our 2024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revenues by type within each of our reportable business segments:</w:t>
      </w:r>
    </w:p>
    <w:tbl>
      <w:tblPr>
        <w:tblW w:w="9228" w:type="dxa"/>
        <w:jc w:val="left"/>
        <w:tblInd w:w="0" w:type="dxa"/>
        <w:tblLayout w:type="fixed"/>
        <w:tblCellMar>
          <w:top w:w="28" w:type="dxa"/>
          <w:left w:w="28" w:type="dxa"/>
          <w:bottom w:w="28" w:type="dxa"/>
          <w:right w:w="28" w:type="dxa"/>
        </w:tblCellMar>
      </w:tblPr>
      <w:tblGrid>
        <w:gridCol w:w="1025"/>
        <w:gridCol w:w="901"/>
        <w:gridCol w:w="909"/>
        <w:gridCol w:w="109"/>
        <w:gridCol w:w="109"/>
        <w:gridCol w:w="109"/>
        <w:gridCol w:w="321"/>
        <w:gridCol w:w="710"/>
        <w:gridCol w:w="166"/>
        <w:gridCol w:w="166"/>
        <w:gridCol w:w="166"/>
        <w:gridCol w:w="166"/>
        <w:gridCol w:w="321"/>
        <w:gridCol w:w="710"/>
        <w:gridCol w:w="166"/>
        <w:gridCol w:w="109"/>
        <w:gridCol w:w="109"/>
        <w:gridCol w:w="109"/>
        <w:gridCol w:w="268"/>
        <w:gridCol w:w="782"/>
        <w:gridCol w:w="138"/>
        <w:gridCol w:w="138"/>
        <w:gridCol w:w="138"/>
        <w:gridCol w:w="138"/>
        <w:gridCol w:w="268"/>
        <w:gridCol w:w="782"/>
        <w:gridCol w:w="195"/>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Grover revenues are generated by providing customers with access to proprietary electronic pull tabs equipment and content for which consideration is based upon a revenue participation model, with variability generally resolved in the reporting period. For these contracts with customers, we generally transfer control and recognize revenue over time based on the amount we expect to receive and classify such revenue as gaming operations revenue. Payments from customers under these contracts are typically due on a monthly or more frequent basis.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rental income revenue included in services revenue within the consolidated statement of operations that is outside the scope of ASC 606 was $160 million and $449 million for the three and nine months ended September 30, 2025, respectively, and $138 million and $401 million for the three and nine months ended September 30, 2024,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contract liabilities for the reporting period:</w:t>
      </w:r>
    </w:p>
    <w:tbl>
      <w:tblPr>
        <w:tblW w:w="8907" w:type="dxa"/>
        <w:jc w:val="left"/>
        <w:tblInd w:w="0" w:type="dxa"/>
        <w:tblLayout w:type="fixed"/>
        <w:tblCellMar>
          <w:top w:w="28" w:type="dxa"/>
          <w:left w:w="28" w:type="dxa"/>
          <w:bottom w:w="28" w:type="dxa"/>
          <w:right w:w="28" w:type="dxa"/>
        </w:tblCellMar>
      </w:tblPr>
      <w:tblGrid>
        <w:gridCol w:w="1827"/>
        <w:gridCol w:w="1607"/>
        <w:gridCol w:w="1613"/>
        <w:gridCol w:w="117"/>
        <w:gridCol w:w="117"/>
        <w:gridCol w:w="117"/>
        <w:gridCol w:w="1018"/>
        <w:gridCol w:w="1744"/>
        <w:gridCol w:w="747"/>
      </w:tblGrid>
      <w:tr>
        <w:trPr/>
        <w:tc>
          <w:tcPr>
            <w:tcW w:w="182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beginning of period</w:t>
            </w:r>
            <w:r>
              <w:rPr>
                <w:rFonts w:ascii="Times New Roman;serif" w:hAnsi="Times New Roman;serif"/>
                <w:b w:val="false"/>
                <w:color w:val="000000"/>
                <w:sz w:val="13"/>
              </w:rPr>
              <w:t>(1)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recognized during the period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from beginning balance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end of period</w:t>
            </w:r>
            <w:r>
              <w:rPr>
                <w:rFonts w:ascii="Times New Roman;serif" w:hAnsi="Times New Roman;serif"/>
                <w:b w:val="false"/>
                <w:color w:val="000000"/>
                <w:sz w:val="13"/>
              </w:rPr>
              <w:t>(1)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Contract liabilities are included within Accrued liabilities and Other long-term liabilities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conversion to cash. The following table summarizes our balances in these accounts for the periods indicated (other than contract liabilities disclosed above):</w:t>
      </w:r>
    </w:p>
    <w:tbl>
      <w:tblPr>
        <w:tblW w:w="9475" w:type="dxa"/>
        <w:jc w:val="left"/>
        <w:tblInd w:w="0" w:type="dxa"/>
        <w:tblLayout w:type="fixed"/>
        <w:tblCellMar>
          <w:top w:w="28" w:type="dxa"/>
          <w:left w:w="28" w:type="dxa"/>
          <w:bottom w:w="28" w:type="dxa"/>
          <w:right w:w="28" w:type="dxa"/>
        </w:tblCellMar>
      </w:tblPr>
      <w:tblGrid>
        <w:gridCol w:w="1922"/>
        <w:gridCol w:w="1685"/>
        <w:gridCol w:w="1696"/>
        <w:gridCol w:w="390"/>
        <w:gridCol w:w="861"/>
        <w:gridCol w:w="202"/>
        <w:gridCol w:w="159"/>
        <w:gridCol w:w="159"/>
        <w:gridCol w:w="159"/>
        <w:gridCol w:w="651"/>
        <w:gridCol w:w="1115"/>
        <w:gridCol w:w="476"/>
      </w:tblGrid>
      <w:tr>
        <w:trPr/>
        <w:tc>
          <w:tcPr>
            <w:tcW w:w="192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Contract Assets</w:t>
            </w:r>
            <w:r>
              <w:rPr>
                <w:rFonts w:ascii="Times New Roman;serif" w:hAnsi="Times New Roman;serif"/>
                <w:b/>
                <w:color w:val="000000"/>
                <w:sz w:val="12"/>
              </w:rPr>
              <w:t>(1)</w:t>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 balance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 balance, September 30, 2025</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530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9475"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did not have material unsatisfied performance obligations for contracts expected to be long-term or contracts for which we recognize revenue at an amount other than that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Reportable Segments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2024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financial performance, our Chief Operating Decision Maker (defined as our Chief Executive Officer) focuses on AEBITDA as management’s primary segment measure of profit or loss, which is described in footnote (5) to the below table. Our CODM uses reportable business segment AEBITDA to evaluate the performance of each reportable business segment and to allocate resources. Additionally, AEBITDA is one of the key metrics used in our incentive compensation program. The accounting policies for our reportable segments are the same as those described within the Notes in our 2024 10-K. The following tables present our reportable segment information:</w:t>
      </w:r>
    </w:p>
    <w:tbl>
      <w:tblPr>
        <w:tblW w:w="10205" w:type="dxa"/>
        <w:jc w:val="left"/>
        <w:tblInd w:w="0" w:type="dxa"/>
        <w:tblLayout w:type="fixed"/>
        <w:tblCellMar>
          <w:top w:w="28" w:type="dxa"/>
          <w:left w:w="28" w:type="dxa"/>
          <w:bottom w:w="28" w:type="dxa"/>
          <w:right w:w="28" w:type="dxa"/>
        </w:tblCellMar>
      </w:tblPr>
      <w:tblGrid>
        <w:gridCol w:w="1080"/>
        <w:gridCol w:w="519"/>
        <w:gridCol w:w="522"/>
        <w:gridCol w:w="235"/>
        <w:gridCol w:w="521"/>
        <w:gridCol w:w="121"/>
        <w:gridCol w:w="121"/>
        <w:gridCol w:w="121"/>
        <w:gridCol w:w="121"/>
        <w:gridCol w:w="235"/>
        <w:gridCol w:w="521"/>
        <w:gridCol w:w="121"/>
        <w:gridCol w:w="121"/>
        <w:gridCol w:w="121"/>
        <w:gridCol w:w="121"/>
        <w:gridCol w:w="264"/>
        <w:gridCol w:w="454"/>
        <w:gridCol w:w="137"/>
        <w:gridCol w:w="121"/>
        <w:gridCol w:w="121"/>
        <w:gridCol w:w="121"/>
        <w:gridCol w:w="339"/>
        <w:gridCol w:w="751"/>
        <w:gridCol w:w="178"/>
        <w:gridCol w:w="121"/>
        <w:gridCol w:w="121"/>
        <w:gridCol w:w="121"/>
        <w:gridCol w:w="418"/>
        <w:gridCol w:w="805"/>
        <w:gridCol w:w="218"/>
        <w:gridCol w:w="121"/>
        <w:gridCol w:w="121"/>
        <w:gridCol w:w="121"/>
        <w:gridCol w:w="235"/>
        <w:gridCol w:w="521"/>
        <w:gridCol w:w="195"/>
      </w:tblGrid>
      <w:tr>
        <w:trPr/>
        <w:tc>
          <w:tcPr>
            <w:tcW w:w="108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September 30, 2025</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(3) interest expense; (4) gain (loss) on debt 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7"/>
        <w:gridCol w:w="687"/>
        <w:gridCol w:w="692"/>
        <w:gridCol w:w="211"/>
        <w:gridCol w:w="466"/>
        <w:gridCol w:w="109"/>
        <w:gridCol w:w="109"/>
        <w:gridCol w:w="109"/>
        <w:gridCol w:w="109"/>
        <w:gridCol w:w="211"/>
        <w:gridCol w:w="466"/>
        <w:gridCol w:w="109"/>
        <w:gridCol w:w="109"/>
        <w:gridCol w:w="109"/>
        <w:gridCol w:w="109"/>
        <w:gridCol w:w="237"/>
        <w:gridCol w:w="406"/>
        <w:gridCol w:w="123"/>
        <w:gridCol w:w="109"/>
        <w:gridCol w:w="109"/>
        <w:gridCol w:w="109"/>
        <w:gridCol w:w="350"/>
        <w:gridCol w:w="775"/>
        <w:gridCol w:w="183"/>
        <w:gridCol w:w="109"/>
        <w:gridCol w:w="109"/>
        <w:gridCol w:w="109"/>
        <w:gridCol w:w="452"/>
        <w:gridCol w:w="872"/>
        <w:gridCol w:w="236"/>
        <w:gridCol w:w="109"/>
        <w:gridCol w:w="109"/>
        <w:gridCol w:w="109"/>
        <w:gridCol w:w="211"/>
        <w:gridCol w:w="466"/>
        <w:gridCol w:w="161"/>
      </w:tblGrid>
      <w:tr>
        <w:trPr/>
        <w:tc>
          <w:tcPr>
            <w:tcW w:w="114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September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91"/>
        <w:gridCol w:w="620"/>
        <w:gridCol w:w="624"/>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83"/>
        <w:gridCol w:w="828"/>
        <w:gridCol w:w="148"/>
        <w:gridCol w:w="109"/>
        <w:gridCol w:w="109"/>
        <w:gridCol w:w="109"/>
        <w:gridCol w:w="430"/>
        <w:gridCol w:w="828"/>
        <w:gridCol w:w="225"/>
        <w:gridCol w:w="109"/>
        <w:gridCol w:w="109"/>
        <w:gridCol w:w="109"/>
        <w:gridCol w:w="211"/>
        <w:gridCol w:w="616"/>
        <w:gridCol w:w="158"/>
      </w:tblGrid>
      <w:tr>
        <w:trPr/>
        <w:tc>
          <w:tcPr>
            <w:tcW w:w="109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nine months ended September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91"/>
        <w:gridCol w:w="620"/>
        <w:gridCol w:w="624"/>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83"/>
        <w:gridCol w:w="828"/>
        <w:gridCol w:w="148"/>
        <w:gridCol w:w="109"/>
        <w:gridCol w:w="109"/>
        <w:gridCol w:w="109"/>
        <w:gridCol w:w="430"/>
        <w:gridCol w:w="828"/>
        <w:gridCol w:w="225"/>
        <w:gridCol w:w="109"/>
        <w:gridCol w:w="109"/>
        <w:gridCol w:w="109"/>
        <w:gridCol w:w="211"/>
        <w:gridCol w:w="616"/>
        <w:gridCol w:w="158"/>
      </w:tblGrid>
      <w:tr>
        <w:trPr/>
        <w:tc>
          <w:tcPr>
            <w:tcW w:w="109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nine months ended September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 balances of each reportable business segment for the periods indicated:</w:t>
      </w:r>
    </w:p>
    <w:tbl>
      <w:tblPr>
        <w:tblW w:w="10205" w:type="dxa"/>
        <w:jc w:val="left"/>
        <w:tblInd w:w="0" w:type="dxa"/>
        <w:tblLayout w:type="fixed"/>
        <w:tblCellMar>
          <w:top w:w="28" w:type="dxa"/>
          <w:left w:w="28" w:type="dxa"/>
          <w:bottom w:w="28" w:type="dxa"/>
          <w:right w:w="28" w:type="dxa"/>
        </w:tblCellMar>
      </w:tblPr>
      <w:tblGrid>
        <w:gridCol w:w="669"/>
        <w:gridCol w:w="588"/>
        <w:gridCol w:w="591"/>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326"/>
        <w:gridCol w:w="954"/>
        <w:gridCol w:w="170"/>
        <w:gridCol w:w="109"/>
        <w:gridCol w:w="109"/>
        <w:gridCol w:w="109"/>
        <w:gridCol w:w="477"/>
        <w:gridCol w:w="1054"/>
        <w:gridCol w:w="247"/>
        <w:gridCol w:w="109"/>
        <w:gridCol w:w="109"/>
        <w:gridCol w:w="109"/>
        <w:gridCol w:w="211"/>
        <w:gridCol w:w="616"/>
        <w:gridCol w:w="159"/>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as of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Assets as of December 31,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amounts) and items to reconcile the total reportable segments assets to our consolidated assets.</w:t>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835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The following table summarizes pre-tax restructuring and other costs for the periods presented:</w:t>
      </w:r>
    </w:p>
    <w:tbl>
      <w:tblPr>
        <w:tblW w:w="9736" w:type="dxa"/>
        <w:jc w:val="center"/>
        <w:tblInd w:w="0" w:type="dxa"/>
        <w:tblLayout w:type="fixed"/>
        <w:tblCellMar>
          <w:top w:w="28" w:type="dxa"/>
          <w:left w:w="28" w:type="dxa"/>
          <w:bottom w:w="28" w:type="dxa"/>
          <w:right w:w="28" w:type="dxa"/>
        </w:tblCellMar>
      </w:tblPr>
      <w:tblGrid>
        <w:gridCol w:w="1248"/>
        <w:gridCol w:w="1097"/>
        <w:gridCol w:w="1105"/>
        <w:gridCol w:w="385"/>
        <w:gridCol w:w="468"/>
        <w:gridCol w:w="199"/>
        <w:gridCol w:w="199"/>
        <w:gridCol w:w="199"/>
        <w:gridCol w:w="199"/>
        <w:gridCol w:w="385"/>
        <w:gridCol w:w="660"/>
        <w:gridCol w:w="199"/>
        <w:gridCol w:w="109"/>
        <w:gridCol w:w="109"/>
        <w:gridCol w:w="109"/>
        <w:gridCol w:w="350"/>
        <w:gridCol w:w="599"/>
        <w:gridCol w:w="181"/>
        <w:gridCol w:w="181"/>
        <w:gridCol w:w="181"/>
        <w:gridCol w:w="181"/>
        <w:gridCol w:w="350"/>
        <w:gridCol w:w="599"/>
        <w:gridCol w:w="181"/>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related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 acquisitions and related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6286" w:type="dxa"/>
            <w:gridSpan w:val="23"/>
            <w:tcBorders/>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6286" w:type="dxa"/>
            <w:gridSpan w:val="23"/>
            <w:tcBorders/>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393" w:type="dxa"/>
            <w:gridSpan w:val="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(5) Receivables, Allowance for Credit Losses and Credit Quality of Receivables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current and long-term receivables, net:</w:t>
      </w:r>
    </w:p>
    <w:tbl>
      <w:tblPr>
        <w:tblW w:w="5815" w:type="dxa"/>
        <w:jc w:val="left"/>
        <w:tblInd w:w="0" w:type="dxa"/>
        <w:tblLayout w:type="fixed"/>
        <w:tblCellMar>
          <w:top w:w="28" w:type="dxa"/>
          <w:left w:w="28" w:type="dxa"/>
          <w:bottom w:w="28" w:type="dxa"/>
          <w:right w:w="28" w:type="dxa"/>
        </w:tblCellMar>
      </w:tblPr>
      <w:tblGrid>
        <w:gridCol w:w="828"/>
        <w:gridCol w:w="729"/>
        <w:gridCol w:w="737"/>
        <w:gridCol w:w="429"/>
        <w:gridCol w:w="950"/>
        <w:gridCol w:w="225"/>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receivables, net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net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receivables, net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52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receivable portfolios using both geography and delinquency as key credit quality indicators. The following table summarizes geographical delinquencies of total receivables, net:</w:t>
      </w:r>
    </w:p>
    <w:tbl>
      <w:tblPr>
        <w:tblW w:w="10205" w:type="dxa"/>
        <w:jc w:val="center"/>
        <w:tblInd w:w="0" w:type="dxa"/>
        <w:tblLayout w:type="fixed"/>
        <w:tblCellMar>
          <w:top w:w="28" w:type="dxa"/>
          <w:left w:w="28" w:type="dxa"/>
          <w:bottom w:w="28" w:type="dxa"/>
          <w:right w:w="28" w:type="dxa"/>
        </w:tblCellMar>
      </w:tblPr>
      <w:tblGrid>
        <w:gridCol w:w="858"/>
        <w:gridCol w:w="757"/>
        <w:gridCol w:w="758"/>
        <w:gridCol w:w="240"/>
        <w:gridCol w:w="533"/>
        <w:gridCol w:w="123"/>
        <w:gridCol w:w="123"/>
        <w:gridCol w:w="123"/>
        <w:gridCol w:w="123"/>
        <w:gridCol w:w="767"/>
        <w:gridCol w:w="1312"/>
        <w:gridCol w:w="398"/>
        <w:gridCol w:w="109"/>
        <w:gridCol w:w="109"/>
        <w:gridCol w:w="109"/>
        <w:gridCol w:w="233"/>
        <w:gridCol w:w="516"/>
        <w:gridCol w:w="119"/>
        <w:gridCol w:w="119"/>
        <w:gridCol w:w="119"/>
        <w:gridCol w:w="119"/>
        <w:gridCol w:w="733"/>
        <w:gridCol w:w="1254"/>
        <w:gridCol w:w="551"/>
      </w:tblGrid>
      <w:tr>
        <w:trPr/>
        <w:tc>
          <w:tcPr>
            <w:tcW w:w="8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receivables</w:t>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allowance:</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allowance</w:t>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 balances are charged against the allowances after all internal and external collection efforts have been exhausted and the potential for recovery is considered remote.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our allowance for receivable credit losses for each of the three and nine months ended September 30, 2025 and 2024 is as follows:</w:t>
      </w:r>
    </w:p>
    <w:tbl>
      <w:tblPr>
        <w:tblW w:w="8974" w:type="dxa"/>
        <w:jc w:val="center"/>
        <w:tblInd w:w="0" w:type="dxa"/>
        <w:tblLayout w:type="fixed"/>
        <w:tblCellMar>
          <w:top w:w="28" w:type="dxa"/>
          <w:left w:w="28" w:type="dxa"/>
          <w:bottom w:w="28" w:type="dxa"/>
          <w:right w:w="28" w:type="dxa"/>
        </w:tblCellMar>
      </w:tblPr>
      <w:tblGrid>
        <w:gridCol w:w="1402"/>
        <w:gridCol w:w="1230"/>
        <w:gridCol w:w="1238"/>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4% of our total receivables, net, were past due by over 90 days.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Quality of 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tbl>
      <w:tblPr>
        <w:tblW w:w="6899" w:type="dxa"/>
        <w:jc w:val="center"/>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228"/>
        <w:gridCol w:w="390"/>
        <w:gridCol w:w="118"/>
        <w:gridCol w:w="109"/>
        <w:gridCol w:w="109"/>
        <w:gridCol w:w="109"/>
        <w:gridCol w:w="736"/>
        <w:gridCol w:w="1258"/>
        <w:gridCol w:w="540"/>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receivables is estimated by discounting expected future cash flows using current interest rates at which similar loans would be made to borrowers with similar credit ratings and remaining maturities. As of September 30, 2025 and December 31, 2024,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6038" w:type="dxa"/>
        <w:jc w:val="left"/>
        <w:tblInd w:w="0" w:type="dxa"/>
        <w:tblLayout w:type="fixed"/>
        <w:tblCellMar>
          <w:top w:w="28" w:type="dxa"/>
          <w:left w:w="28" w:type="dxa"/>
          <w:bottom w:w="28" w:type="dxa"/>
          <w:right w:w="28" w:type="dxa"/>
        </w:tblCellMar>
      </w:tblPr>
      <w:tblGrid>
        <w:gridCol w:w="793"/>
        <w:gridCol w:w="697"/>
        <w:gridCol w:w="700"/>
        <w:gridCol w:w="109"/>
        <w:gridCol w:w="109"/>
        <w:gridCol w:w="109"/>
        <w:gridCol w:w="429"/>
        <w:gridCol w:w="950"/>
        <w:gridCol w:w="225"/>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Parts and work-in-process include parts for gaming machines, and our finished goods inventory primarily consist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(7) Property and Equipment,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148" w:type="dxa"/>
        <w:jc w:val="center"/>
        <w:tblInd w:w="0" w:type="dxa"/>
        <w:tblLayout w:type="fixed"/>
        <w:tblCellMar>
          <w:top w:w="28" w:type="dxa"/>
          <w:left w:w="28" w:type="dxa"/>
          <w:bottom w:w="28" w:type="dxa"/>
          <w:right w:w="28" w:type="dxa"/>
        </w:tblCellMar>
      </w:tblPr>
      <w:tblGrid>
        <w:gridCol w:w="1195"/>
        <w:gridCol w:w="1047"/>
        <w:gridCol w:w="1058"/>
        <w:gridCol w:w="109"/>
        <w:gridCol w:w="109"/>
        <w:gridCol w:w="109"/>
        <w:gridCol w:w="429"/>
        <w:gridCol w:w="950"/>
        <w:gridCol w:w="225"/>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excluded from cost of services, cost of products and other operating expenses and is separately presented within D&amp;A.</w:t>
      </w:r>
    </w:p>
    <w:tbl>
      <w:tblPr>
        <w:tblW w:w="7935" w:type="dxa"/>
        <w:jc w:val="left"/>
        <w:tblInd w:w="0" w:type="dxa"/>
        <w:tblLayout w:type="fixed"/>
        <w:tblCellMar>
          <w:top w:w="28" w:type="dxa"/>
          <w:left w:w="28" w:type="dxa"/>
          <w:bottom w:w="28" w:type="dxa"/>
          <w:right w:w="28" w:type="dxa"/>
        </w:tblCellMar>
      </w:tblPr>
      <w:tblGrid>
        <w:gridCol w:w="679"/>
        <w:gridCol w:w="597"/>
        <w:gridCol w:w="599"/>
        <w:gridCol w:w="361"/>
        <w:gridCol w:w="618"/>
        <w:gridCol w:w="186"/>
        <w:gridCol w:w="186"/>
        <w:gridCol w:w="186"/>
        <w:gridCol w:w="186"/>
        <w:gridCol w:w="361"/>
        <w:gridCol w:w="618"/>
        <w:gridCol w:w="186"/>
        <w:gridCol w:w="109"/>
        <w:gridCol w:w="109"/>
        <w:gridCol w:w="109"/>
        <w:gridCol w:w="327"/>
        <w:gridCol w:w="722"/>
        <w:gridCol w:w="168"/>
        <w:gridCol w:w="168"/>
        <w:gridCol w:w="168"/>
        <w:gridCol w:w="168"/>
        <w:gridCol w:w="327"/>
        <w:gridCol w:w="559"/>
        <w:gridCol w:w="23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5"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(8) Intangible Assets, net and Goodwill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intangible assets as of September 30, 2025 and December 31, 2024.</w:t>
      </w:r>
    </w:p>
    <w:tbl>
      <w:tblPr>
        <w:tblW w:w="10205" w:type="dxa"/>
        <w:jc w:val="center"/>
        <w:tblInd w:w="0" w:type="dxa"/>
        <w:tblLayout w:type="fixed"/>
        <w:tblCellMar>
          <w:top w:w="28" w:type="dxa"/>
          <w:left w:w="28" w:type="dxa"/>
          <w:bottom w:w="28" w:type="dxa"/>
          <w:right w:w="28" w:type="dxa"/>
        </w:tblCellMar>
      </w:tblPr>
      <w:tblGrid>
        <w:gridCol w:w="718"/>
        <w:gridCol w:w="612"/>
        <w:gridCol w:w="616"/>
        <w:gridCol w:w="256"/>
        <w:gridCol w:w="749"/>
        <w:gridCol w:w="132"/>
        <w:gridCol w:w="109"/>
        <w:gridCol w:w="109"/>
        <w:gridCol w:w="109"/>
        <w:gridCol w:w="249"/>
        <w:gridCol w:w="747"/>
        <w:gridCol w:w="130"/>
        <w:gridCol w:w="109"/>
        <w:gridCol w:w="109"/>
        <w:gridCol w:w="109"/>
        <w:gridCol w:w="109"/>
        <w:gridCol w:w="245"/>
        <w:gridCol w:w="542"/>
        <w:gridCol w:w="126"/>
        <w:gridCol w:w="109"/>
        <w:gridCol w:w="109"/>
        <w:gridCol w:w="109"/>
        <w:gridCol w:w="256"/>
        <w:gridCol w:w="749"/>
        <w:gridCol w:w="132"/>
        <w:gridCol w:w="109"/>
        <w:gridCol w:w="109"/>
        <w:gridCol w:w="109"/>
        <w:gridCol w:w="249"/>
        <w:gridCol w:w="747"/>
        <w:gridCol w:w="130"/>
        <w:gridCol w:w="109"/>
        <w:gridCol w:w="109"/>
        <w:gridCol w:w="109"/>
        <w:gridCol w:w="245"/>
        <w:gridCol w:w="542"/>
        <w:gridCol w:w="126"/>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color w:val="000000"/>
              </w:rPr>
              <w:t xml:space="preserv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names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259" w:type="dxa"/>
            <w:gridSpan w:val="3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intangible amortization expense included within D&amp;A: </w:t>
      </w:r>
    </w:p>
    <w:tbl>
      <w:tblPr>
        <w:tblW w:w="7965" w:type="dxa"/>
        <w:jc w:val="center"/>
        <w:tblInd w:w="0" w:type="dxa"/>
        <w:tblLayout w:type="fixed"/>
        <w:tblCellMar>
          <w:top w:w="28" w:type="dxa"/>
          <w:left w:w="28" w:type="dxa"/>
          <w:bottom w:w="28" w:type="dxa"/>
          <w:right w:w="28" w:type="dxa"/>
        </w:tblCellMar>
      </w:tblPr>
      <w:tblGrid>
        <w:gridCol w:w="690"/>
        <w:gridCol w:w="606"/>
        <w:gridCol w:w="609"/>
        <w:gridCol w:w="361"/>
        <w:gridCol w:w="618"/>
        <w:gridCol w:w="186"/>
        <w:gridCol w:w="186"/>
        <w:gridCol w:w="186"/>
        <w:gridCol w:w="186"/>
        <w:gridCol w:w="361"/>
        <w:gridCol w:w="618"/>
        <w:gridCol w:w="186"/>
        <w:gridCol w:w="109"/>
        <w:gridCol w:w="109"/>
        <w:gridCol w:w="109"/>
        <w:gridCol w:w="309"/>
        <w:gridCol w:w="683"/>
        <w:gridCol w:w="159"/>
        <w:gridCol w:w="159"/>
        <w:gridCol w:w="159"/>
        <w:gridCol w:w="159"/>
        <w:gridCol w:w="309"/>
        <w:gridCol w:w="683"/>
        <w:gridCol w:w="225"/>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6060"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Estimated intangible asset amortization expense for the remainder of the year ending December 31, 2025 and each of the subsequent four years is as follows:</w:t>
      </w:r>
    </w:p>
    <w:tbl>
      <w:tblPr>
        <w:tblW w:w="7856" w:type="dxa"/>
        <w:jc w:val="center"/>
        <w:tblInd w:w="0" w:type="dxa"/>
        <w:tblLayout w:type="fixed"/>
        <w:tblCellMar>
          <w:top w:w="28" w:type="dxa"/>
          <w:left w:w="28" w:type="dxa"/>
          <w:bottom w:w="28" w:type="dxa"/>
          <w:right w:w="28" w:type="dxa"/>
        </w:tblCellMar>
      </w:tblPr>
      <w:tblGrid>
        <w:gridCol w:w="690"/>
        <w:gridCol w:w="606"/>
        <w:gridCol w:w="609"/>
        <w:gridCol w:w="482"/>
        <w:gridCol w:w="826"/>
        <w:gridCol w:w="2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carrying value of goodwill, by reportable segment, for the period from December 31, 2024 to September 30, 2025.</w:t>
      </w:r>
    </w:p>
    <w:tbl>
      <w:tblPr>
        <w:tblW w:w="8312" w:type="dxa"/>
        <w:jc w:val="center"/>
        <w:tblInd w:w="0" w:type="dxa"/>
        <w:tblLayout w:type="fixed"/>
        <w:tblCellMar>
          <w:top w:w="28" w:type="dxa"/>
          <w:left w:w="28" w:type="dxa"/>
          <w:bottom w:w="28" w:type="dxa"/>
          <w:right w:w="28" w:type="dxa"/>
        </w:tblCellMar>
      </w:tblPr>
      <w:tblGrid>
        <w:gridCol w:w="1178"/>
        <w:gridCol w:w="1035"/>
        <w:gridCol w:w="1037"/>
        <w:gridCol w:w="239"/>
        <w:gridCol w:w="699"/>
        <w:gridCol w:w="123"/>
        <w:gridCol w:w="123"/>
        <w:gridCol w:w="123"/>
        <w:gridCol w:w="123"/>
        <w:gridCol w:w="239"/>
        <w:gridCol w:w="529"/>
        <w:gridCol w:w="123"/>
        <w:gridCol w:w="123"/>
        <w:gridCol w:w="123"/>
        <w:gridCol w:w="123"/>
        <w:gridCol w:w="239"/>
        <w:gridCol w:w="529"/>
        <w:gridCol w:w="123"/>
        <w:gridCol w:w="123"/>
        <w:gridCol w:w="123"/>
        <w:gridCol w:w="123"/>
        <w:gridCol w:w="239"/>
        <w:gridCol w:w="699"/>
        <w:gridCol w:w="17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Gaming</w:t>
            </w:r>
            <w:r>
              <w:rPr>
                <w:rFonts w:ascii="Times New Roman;serif" w:hAnsi="Times New Roman;serif"/>
                <w:b/>
                <w:color w:val="000000"/>
                <w:sz w:val="12"/>
              </w:rPr>
              <w:t>(1)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Acquired goodwill</w:t>
            </w:r>
            <w:r>
              <w:rPr>
                <w:rFonts w:ascii="Times New Roman;serif" w:hAnsi="Times New Roman;serif"/>
                <w:b w:val="false"/>
                <w:color w:val="000000"/>
                <w:sz w:val="13"/>
              </w:rPr>
              <w:t>(2)</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2"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Accumulated goodwill impairment charges for the Gaming segment as of September 30, 2025 were $989 million.</w:t>
            </w:r>
          </w:p>
        </w:tc>
      </w:tr>
      <w:tr>
        <w:trPr/>
        <w:tc>
          <w:tcPr>
            <w:tcW w:w="8312"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Represents goodwill related to the Grover acquisition (see Note 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Software,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Software, net consisted of the following:</w:t>
      </w:r>
    </w:p>
    <w:tbl>
      <w:tblPr>
        <w:tblW w:w="6129" w:type="dxa"/>
        <w:jc w:val="center"/>
        <w:tblInd w:w="0" w:type="dxa"/>
        <w:tblLayout w:type="fixed"/>
        <w:tblCellMar>
          <w:top w:w="28" w:type="dxa"/>
          <w:left w:w="28" w:type="dxa"/>
          <w:bottom w:w="28" w:type="dxa"/>
          <w:right w:w="28" w:type="dxa"/>
        </w:tblCellMar>
      </w:tblPr>
      <w:tblGrid>
        <w:gridCol w:w="824"/>
        <w:gridCol w:w="725"/>
        <w:gridCol w:w="731"/>
        <w:gridCol w:w="109"/>
        <w:gridCol w:w="109"/>
        <w:gridCol w:w="109"/>
        <w:gridCol w:w="362"/>
        <w:gridCol w:w="1056"/>
        <w:gridCol w:w="187"/>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amortization of software included within D&amp;A: </w:t>
      </w:r>
    </w:p>
    <w:tbl>
      <w:tblPr>
        <w:tblW w:w="7967" w:type="dxa"/>
        <w:jc w:val="center"/>
        <w:tblInd w:w="0" w:type="dxa"/>
        <w:tblLayout w:type="fixed"/>
        <w:tblCellMar>
          <w:top w:w="28" w:type="dxa"/>
          <w:left w:w="28" w:type="dxa"/>
          <w:bottom w:w="28" w:type="dxa"/>
          <w:right w:w="28" w:type="dxa"/>
        </w:tblCellMar>
      </w:tblPr>
      <w:tblGrid>
        <w:gridCol w:w="690"/>
        <w:gridCol w:w="606"/>
        <w:gridCol w:w="609"/>
        <w:gridCol w:w="361"/>
        <w:gridCol w:w="618"/>
        <w:gridCol w:w="186"/>
        <w:gridCol w:w="186"/>
        <w:gridCol w:w="186"/>
        <w:gridCol w:w="186"/>
        <w:gridCol w:w="361"/>
        <w:gridCol w:w="618"/>
        <w:gridCol w:w="186"/>
        <w:gridCol w:w="109"/>
        <w:gridCol w:w="109"/>
        <w:gridCol w:w="109"/>
        <w:gridCol w:w="346"/>
        <w:gridCol w:w="593"/>
        <w:gridCol w:w="179"/>
        <w:gridCol w:w="179"/>
        <w:gridCol w:w="179"/>
        <w:gridCol w:w="179"/>
        <w:gridCol w:w="346"/>
        <w:gridCol w:w="593"/>
        <w:gridCol w:w="25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2"/>
        <w:gridCol w:w="485"/>
        <w:gridCol w:w="488"/>
        <w:gridCol w:w="300"/>
        <w:gridCol w:w="300"/>
        <w:gridCol w:w="301"/>
        <w:gridCol w:w="109"/>
        <w:gridCol w:w="109"/>
        <w:gridCol w:w="109"/>
        <w:gridCol w:w="254"/>
        <w:gridCol w:w="254"/>
        <w:gridCol w:w="258"/>
        <w:gridCol w:w="109"/>
        <w:gridCol w:w="109"/>
        <w:gridCol w:w="109"/>
        <w:gridCol w:w="211"/>
        <w:gridCol w:w="617"/>
        <w:gridCol w:w="109"/>
        <w:gridCol w:w="109"/>
        <w:gridCol w:w="109"/>
        <w:gridCol w:w="109"/>
        <w:gridCol w:w="633"/>
        <w:gridCol w:w="1221"/>
        <w:gridCol w:w="330"/>
        <w:gridCol w:w="109"/>
        <w:gridCol w:w="109"/>
        <w:gridCol w:w="109"/>
        <w:gridCol w:w="214"/>
        <w:gridCol w:w="627"/>
        <w:gridCol w:w="110"/>
        <w:gridCol w:w="109"/>
        <w:gridCol w:w="109"/>
        <w:gridCol w:w="109"/>
        <w:gridCol w:w="243"/>
        <w:gridCol w:w="709"/>
        <w:gridCol w:w="184"/>
      </w:tblGrid>
      <w:tr>
        <w:trPr/>
        <w:tc>
          <w:tcPr>
            <w:tcW w:w="7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Senior Notes: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outstanding</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debt</w:t>
            </w:r>
            <w:r>
              <w:rPr>
                <w:rFonts w:ascii="Times New Roman;serif" w:hAnsi="Times New Roman;serif"/>
                <w:b w:val="false"/>
                <w:color w:val="000000"/>
                <w:sz w:val="13"/>
              </w:rPr>
              <w:t>(1)</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LNWI Credit Agreement Amendment - Revolver Upsizing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10, 2025, we entered into an amendment to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to the earlier of (x) February 10, 2030 and (y) such earlier date that is 91 days prior to the maturity of our existing term loans (scheduled to mature on April 14, 2029) and existing notes (the earliest maturity of which is scheduled for May 15, 2028), solely to the extent more than $500 million of such term loans and/or such applicable notes are outstanding on such earlier date, and subject to us having sufficient liquidity to repay such term loans and/or applicable notes at such time and (iii) reduced the applicable margin for the revolving loans bearing interest at Adjusted Term SOFR Rate (or an alternative benchmark rate for non-US dollar borrowings) to, based upon certain leverage tests, between 2.00% and 1.50% per annum, and for loans bearing interest at a base rate, between 1.00% and 0.50%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LNWI Term Loan A Borrowing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15, 2025 (the “TLA Closing Date”),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under the LNWI Term Loan A will mature on May 15, 2028 and, beginning with the first fiscal quarter ending on September 30, 2025, will amortize in quarterly installments in aggregate amounts equal to (i) for the first four full fiscal quarters following the TLA Closing Date, 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under the LNWI Term Loan A will, at LNWI’s option, bear interest at either (i) Adjusted Term SOFR Rate (as defined in the LNWI Credit Agreement A) plus, based upon certain leverage tests, between 2.00% and 1.50% per annum or (ii) a base rate plus between 1.00% and 0.50% per annum.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LNWI Term Loan A is subject to customary affirmative covenants and negative covenants as well as a financial covenant. The financial covenant is tested at the end of each fiscal quarter, and it requires that the Company not be in excess of a maximum consolidated net first lien leverage ratio of 4.50:1.00.</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Issuance of 2033 Unsecured Notes and Redemption of 2028 Unsecured Notes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24, 2025, we issued $1.0 billion in aggregate principal amount of 6.250% senior unsecured notes due 2033 pursuant to an indenture among LNWI, as issuer, the Company, the other guarantors party thereto and Deutsche Bank Trust Company Americas, as trustee. The 2033 Unsecured Notes bear interest at the rate of 6.250% per annum, which accrues from September 24, 2025 and is payable semiannually in arrears on April 1 and October 1 of each year, beginning on April 1, 2026. We may redeem all or any portion of the 2033 Unsecured Notes at any time prior to October 1, 2028, at a redemption price equal to 100% of the principal amount plus accrued and unpaid interest, if any, to the date of the redemption plus a “make whole” premium. We may redeem some or all of the 2033 Unsecured Notes at any time on or after October 1, 2028, at the prices specified in the indenture governing the 2033 Unsecured Notes.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2033 Unsecured Notes are senior obligations of LNWI, rank equally with all of its existing and future senior debt and rank senior to all of its existing and future debt that is expressly subordinated to the 2033 Unsecured Notes. The 2033 Unsecured Notes are guaranteed on a senior unsecured basis by the Company and all of its wholly owned domestic restricted subsidiaries (other than LNWI and certain immaterial subsidiaries), subject to customary exceptions. The net proceeds of the 2033 Unsecured Notes offering were used to redeem all $700 million of the 2028 Unsecured Notes, pay accrued and unpaid interest thereon plus related fees and expenses and pay all outstanding borrowings under the LNWI Revolver, with any remaining proceeds used for general corporate purposes, which may include repurchases of the Company’s equity. In connection with these transactions, we capitalized $15 million in financing costs presented as a reduction to long-term debt associated with the 2033 Unsecured Notes and recorded a loss on debt extinguishment of $4 million resulting from unamortized deferred financing costs associated with the 2028 Unsecured Notes.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under all debt agreements as of September 30, 2025 (for information regarding our financial covenants of all debt agreements, see above and Note 14 in our 2024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terms of our credit facilities and Senior Notes, see Note 14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held the following derivative instruments that were accounted for pursuant to ASC 815:</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 contracts as described below to manage exposure to interest rate fluctuations by reducing the uncertainty of future cash flows on a portion of our variable rate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September 30, 2025. These hedges mature in April 2027.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loss and interest income on our interest rate swap contracts:</w:t>
      </w:r>
    </w:p>
    <w:tbl>
      <w:tblPr>
        <w:tblW w:w="10205" w:type="dxa"/>
        <w:jc w:val="center"/>
        <w:tblInd w:w="0" w:type="dxa"/>
        <w:tblLayout w:type="fixed"/>
        <w:tblCellMar>
          <w:top w:w="28" w:type="dxa"/>
          <w:left w:w="28" w:type="dxa"/>
          <w:bottom w:w="28" w:type="dxa"/>
          <w:right w:w="28" w:type="dxa"/>
        </w:tblCellMar>
      </w:tblPr>
      <w:tblGrid>
        <w:gridCol w:w="1790"/>
        <w:gridCol w:w="1574"/>
        <w:gridCol w:w="1582"/>
        <w:gridCol w:w="305"/>
        <w:gridCol w:w="459"/>
        <w:gridCol w:w="158"/>
        <w:gridCol w:w="158"/>
        <w:gridCol w:w="158"/>
        <w:gridCol w:w="158"/>
        <w:gridCol w:w="305"/>
        <w:gridCol w:w="612"/>
        <w:gridCol w:w="158"/>
        <w:gridCol w:w="109"/>
        <w:gridCol w:w="109"/>
        <w:gridCol w:w="109"/>
        <w:gridCol w:w="296"/>
        <w:gridCol w:w="592"/>
        <w:gridCol w:w="152"/>
        <w:gridCol w:w="152"/>
        <w:gridCol w:w="152"/>
        <w:gridCol w:w="152"/>
        <w:gridCol w:w="296"/>
        <w:gridCol w:w="444"/>
        <w:gridCol w:w="225"/>
      </w:tblGrid>
      <w:tr>
        <w:trPr/>
        <w:tc>
          <w:tcPr>
            <w:tcW w:w="179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recorded in accumulated other comprehensive loss, net of tax</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related to interest rate swap contracts recorded in interest expense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reclassify material amounts from accumulated other comprehensive loss to interest expense in the next twelve months.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of interest rate swap contracts designated as cash flow hedges on interest expense in the consolidated statements of income:</w:t>
      </w:r>
    </w:p>
    <w:tbl>
      <w:tblPr>
        <w:tblW w:w="10205" w:type="dxa"/>
        <w:jc w:val="center"/>
        <w:tblInd w:w="0" w:type="dxa"/>
        <w:tblLayout w:type="fixed"/>
        <w:tblCellMar>
          <w:top w:w="28" w:type="dxa"/>
          <w:left w:w="28" w:type="dxa"/>
          <w:bottom w:w="28" w:type="dxa"/>
          <w:right w:w="28" w:type="dxa"/>
        </w:tblCellMar>
      </w:tblPr>
      <w:tblGrid>
        <w:gridCol w:w="1692"/>
        <w:gridCol w:w="1440"/>
        <w:gridCol w:w="1451"/>
        <w:gridCol w:w="305"/>
        <w:gridCol w:w="618"/>
        <w:gridCol w:w="157"/>
        <w:gridCol w:w="157"/>
        <w:gridCol w:w="157"/>
        <w:gridCol w:w="157"/>
        <w:gridCol w:w="305"/>
        <w:gridCol w:w="618"/>
        <w:gridCol w:w="157"/>
        <w:gridCol w:w="109"/>
        <w:gridCol w:w="109"/>
        <w:gridCol w:w="109"/>
        <w:gridCol w:w="270"/>
        <w:gridCol w:w="680"/>
        <w:gridCol w:w="139"/>
        <w:gridCol w:w="139"/>
        <w:gridCol w:w="139"/>
        <w:gridCol w:w="139"/>
        <w:gridCol w:w="270"/>
        <w:gridCol w:w="680"/>
        <w:gridCol w:w="208"/>
      </w:tblGrid>
      <w:tr>
        <w:trPr/>
        <w:tc>
          <w:tcPr>
            <w:tcW w:w="169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which reflects the effects of cash flow hedges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item</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 of our hedges:</w:t>
      </w:r>
    </w:p>
    <w:tbl>
      <w:tblPr>
        <w:tblW w:w="7403" w:type="dxa"/>
        <w:jc w:val="center"/>
        <w:tblInd w:w="0" w:type="dxa"/>
        <w:tblLayout w:type="fixed"/>
        <w:tblCellMar>
          <w:top w:w="28" w:type="dxa"/>
          <w:left w:w="28" w:type="dxa"/>
          <w:bottom w:w="28" w:type="dxa"/>
          <w:right w:w="28" w:type="dxa"/>
        </w:tblCellMar>
      </w:tblPr>
      <w:tblGrid>
        <w:gridCol w:w="575"/>
        <w:gridCol w:w="505"/>
        <w:gridCol w:w="509"/>
        <w:gridCol w:w="654"/>
        <w:gridCol w:w="654"/>
        <w:gridCol w:w="657"/>
        <w:gridCol w:w="109"/>
        <w:gridCol w:w="109"/>
        <w:gridCol w:w="109"/>
        <w:gridCol w:w="588"/>
        <w:gridCol w:w="712"/>
        <w:gridCol w:w="305"/>
        <w:gridCol w:w="109"/>
        <w:gridCol w:w="109"/>
        <w:gridCol w:w="109"/>
        <w:gridCol w:w="462"/>
        <w:gridCol w:w="790"/>
        <w:gridCol w:w="3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contingent acquisition consideration liabilities (including deferred purchase price) for the period from December 31, 2024 to September 30, 2025.</w:t>
      </w:r>
    </w:p>
    <w:tbl>
      <w:tblPr>
        <w:tblW w:w="10205" w:type="dxa"/>
        <w:jc w:val="left"/>
        <w:tblInd w:w="0" w:type="dxa"/>
        <w:tblLayout w:type="fixed"/>
        <w:tblCellMar>
          <w:top w:w="28" w:type="dxa"/>
          <w:left w:w="28" w:type="dxa"/>
          <w:bottom w:w="28" w:type="dxa"/>
          <w:right w:w="28" w:type="dxa"/>
        </w:tblCellMar>
      </w:tblPr>
      <w:tblGrid>
        <w:gridCol w:w="1080"/>
        <w:gridCol w:w="922"/>
        <w:gridCol w:w="924"/>
        <w:gridCol w:w="294"/>
        <w:gridCol w:w="503"/>
        <w:gridCol w:w="152"/>
        <w:gridCol w:w="152"/>
        <w:gridCol w:w="152"/>
        <w:gridCol w:w="152"/>
        <w:gridCol w:w="731"/>
        <w:gridCol w:w="1251"/>
        <w:gridCol w:w="381"/>
        <w:gridCol w:w="152"/>
        <w:gridCol w:w="152"/>
        <w:gridCol w:w="152"/>
        <w:gridCol w:w="885"/>
        <w:gridCol w:w="1515"/>
        <w:gridCol w:w="655"/>
      </w:tblGrid>
      <w:tr>
        <w:trPr/>
        <w:tc>
          <w:tcPr>
            <w:tcW w:w="10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Accrued Liabilities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Other Long-Term Liabilities</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055"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contingent consideration liability related to the Grover acquisition (see Note 1).</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7279" w:type="dxa"/>
            <w:gridSpan w:val="15"/>
            <w:tcBorders/>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Represents extinguishment of $6 million in redeemable non-controlling interest liability associated with SciPlay’s acquisition of Alictus Yazilim Anonim Şirketi in 2022, as specified financial targets were not met. The gain was recorded in other (expense) income, net in our consolidated statements of operations.</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7279"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Changes in Stockholders’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stockholders’ equity for the nine months ended September 30, 2025 and 2024:</w:t>
      </w:r>
    </w:p>
    <w:tbl>
      <w:tblPr>
        <w:tblW w:w="10205" w:type="dxa"/>
        <w:jc w:val="left"/>
        <w:tblInd w:w="0" w:type="dxa"/>
        <w:tblLayout w:type="fixed"/>
        <w:tblCellMar>
          <w:top w:w="28" w:type="dxa"/>
          <w:left w:w="28" w:type="dxa"/>
          <w:bottom w:w="28" w:type="dxa"/>
          <w:right w:w="28" w:type="dxa"/>
        </w:tblCellMar>
      </w:tblPr>
      <w:tblGrid>
        <w:gridCol w:w="930"/>
        <w:gridCol w:w="444"/>
        <w:gridCol w:w="445"/>
        <w:gridCol w:w="330"/>
        <w:gridCol w:w="401"/>
        <w:gridCol w:w="171"/>
        <w:gridCol w:w="109"/>
        <w:gridCol w:w="109"/>
        <w:gridCol w:w="109"/>
        <w:gridCol w:w="254"/>
        <w:gridCol w:w="743"/>
        <w:gridCol w:w="131"/>
        <w:gridCol w:w="109"/>
        <w:gridCol w:w="109"/>
        <w:gridCol w:w="109"/>
        <w:gridCol w:w="233"/>
        <w:gridCol w:w="681"/>
        <w:gridCol w:w="120"/>
        <w:gridCol w:w="109"/>
        <w:gridCol w:w="109"/>
        <w:gridCol w:w="109"/>
        <w:gridCol w:w="220"/>
        <w:gridCol w:w="671"/>
        <w:gridCol w:w="113"/>
        <w:gridCol w:w="109"/>
        <w:gridCol w:w="109"/>
        <w:gridCol w:w="109"/>
        <w:gridCol w:w="428"/>
        <w:gridCol w:w="975"/>
        <w:gridCol w:w="221"/>
        <w:gridCol w:w="109"/>
        <w:gridCol w:w="109"/>
        <w:gridCol w:w="109"/>
        <w:gridCol w:w="109"/>
        <w:gridCol w:w="109"/>
        <w:gridCol w:w="211"/>
        <w:gridCol w:w="466"/>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1168" w:type="dxa"/>
            <w:gridSpan w:val="6"/>
            <w:tcBorders/>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1,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7" w:type="dxa"/>
            <w:gridSpan w:val="3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excise taxes of $1 million and $3 million for the three and nine months ended September 30, 2025, respectively.</w:t>
            </w:r>
          </w:p>
        </w:tc>
        <w:tc>
          <w:tcPr>
            <w:tcW w:w="1168"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51"/>
        <w:gridCol w:w="475"/>
        <w:gridCol w:w="477"/>
        <w:gridCol w:w="335"/>
        <w:gridCol w:w="407"/>
        <w:gridCol w:w="174"/>
        <w:gridCol w:w="109"/>
        <w:gridCol w:w="109"/>
        <w:gridCol w:w="109"/>
        <w:gridCol w:w="262"/>
        <w:gridCol w:w="766"/>
        <w:gridCol w:w="135"/>
        <w:gridCol w:w="109"/>
        <w:gridCol w:w="109"/>
        <w:gridCol w:w="109"/>
        <w:gridCol w:w="254"/>
        <w:gridCol w:w="563"/>
        <w:gridCol w:w="133"/>
        <w:gridCol w:w="109"/>
        <w:gridCol w:w="109"/>
        <w:gridCol w:w="109"/>
        <w:gridCol w:w="231"/>
        <w:gridCol w:w="552"/>
        <w:gridCol w:w="119"/>
        <w:gridCol w:w="109"/>
        <w:gridCol w:w="109"/>
        <w:gridCol w:w="109"/>
        <w:gridCol w:w="442"/>
        <w:gridCol w:w="1009"/>
        <w:gridCol w:w="229"/>
        <w:gridCol w:w="109"/>
        <w:gridCol w:w="109"/>
        <w:gridCol w:w="109"/>
        <w:gridCol w:w="109"/>
        <w:gridCol w:w="109"/>
        <w:gridCol w:w="211"/>
        <w:gridCol w:w="466"/>
        <w:gridCol w:w="161"/>
      </w:tblGrid>
      <w:tr>
        <w:trPr/>
        <w:tc>
          <w:tcPr>
            <w:tcW w:w="95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947" w:type="dxa"/>
            <w:gridSpan w:val="4"/>
            <w:tcBorders/>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 and other</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3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excise taxes of $1 million for the nine months ended September 30, 2024.</w:t>
            </w:r>
          </w:p>
        </w:tc>
        <w:tc>
          <w:tcPr>
            <w:tcW w:w="947" w:type="dxa"/>
            <w:gridSpan w:val="4"/>
            <w:tcBorders/>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we recognized $28 million and $87 million, respectively, in total stock-based compensation expense under all programs. These amounts included $11 million and $38 million, respectively, of stock-based compensation classified as liability awards. For the three and nine months ended September 30, 2024, we recognized $29 million and $82 million, respectively, in total stock-based compensation expense under all programs. These amounts included $12 million and $31 million, respectively, of stock-based compensation classified as liability awards.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RSUs outstanding under our equity-based compensation plans during the nine months ended September 30, 2025 is presented below:</w:t>
      </w:r>
    </w:p>
    <w:tbl>
      <w:tblPr>
        <w:tblW w:w="9836" w:type="dxa"/>
        <w:jc w:val="center"/>
        <w:tblInd w:w="0" w:type="dxa"/>
        <w:tblLayout w:type="fixed"/>
        <w:tblCellMar>
          <w:top w:w="28" w:type="dxa"/>
          <w:left w:w="28" w:type="dxa"/>
          <w:bottom w:w="28" w:type="dxa"/>
          <w:right w:w="28" w:type="dxa"/>
        </w:tblCellMar>
      </w:tblPr>
      <w:tblGrid>
        <w:gridCol w:w="1255"/>
        <w:gridCol w:w="1103"/>
        <w:gridCol w:w="1106"/>
        <w:gridCol w:w="904"/>
        <w:gridCol w:w="904"/>
        <w:gridCol w:w="907"/>
        <w:gridCol w:w="109"/>
        <w:gridCol w:w="109"/>
        <w:gridCol w:w="109"/>
        <w:gridCol w:w="647"/>
        <w:gridCol w:w="2211"/>
        <w:gridCol w:w="472"/>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2024</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September 30, 2025</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0"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during the nine months ended September 30, 2025 and 2024 was $104.98 and $99.59, respectively. The fair value of each RSU grant is based on the market value of our common stock at the time of grant. As of September 30, 2025, we had $103 million of unrecognized stock-based compensation expense relating to unvested RSUs amortized over a weighted-average period of approximately 1.2 years. The fair value at vesting date of RSUs vested during the nine months ended September 30, 2025 and 2024 was $127 million and $163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2024, our Board of Directors approved a share repurchase program under which the Company is authorized to repurchase, from time to time through June 12, 2027, up to an aggregate amount of $1.0 billion of shares of outstanding common stock. On July 31, 2025, our Board of Directors approved an additional aggregate amount of up to $500 million of shares of outstanding common stock as authorized to be repurchased under the share repurchase program, increasing the total aggregate amount to $1.5 billion. During the nine months ended September 30, 2025, we repurchased approximately 4.3 million shares of common stock under the repurchase program at an aggregate cost of $380 million (including excise tax). Subsequent to September 30, 2025 and through October 31, 2025, we purchased an additional 1.3 million shares of common stock at an aggregate value of $101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with the prior year as of September 30, 2025.</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(including discrete items) was $25 million and $76 million for the three and nine months ended September 30, 2025, respectively, and $17 million and $61 million for the three and nine months ended September 30, 2024, respectively. For the three and nine months ended September 30, 2025, our effective tax rate differed from the U.S. statutory rate of 21%, primarily as a result of foreign earnings and the impact of worldwide tax rates on foreign earnings. In all periods, we recorded tax expense relative to pre-tax earnings in jurisdictions without valuation allowances.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impact of the OBBBA on our consolidated financial statements in the third quarter of 2025 and continue to evaluate any further potential impacts from provisions taking effect at a later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(14) Leases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operating lease expense for the three and nine months ended September 30, 2025 was $7 million and $20 million, respectively, and $6 million and $18 million for the three and nine months ended September 30, 2024, respectively. The total amount of variable and short-term lease payments was immaterial for all periods presented.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and cash flow information related to operating leases is as follows:</w:t>
      </w:r>
    </w:p>
    <w:tbl>
      <w:tblPr>
        <w:tblW w:w="7344" w:type="dxa"/>
        <w:jc w:val="left"/>
        <w:tblInd w:w="0" w:type="dxa"/>
        <w:tblLayout w:type="fixed"/>
        <w:tblCellMar>
          <w:top w:w="28" w:type="dxa"/>
          <w:left w:w="28" w:type="dxa"/>
          <w:bottom w:w="28" w:type="dxa"/>
          <w:right w:w="28" w:type="dxa"/>
        </w:tblCellMar>
      </w:tblPr>
      <w:tblGrid>
        <w:gridCol w:w="1385"/>
        <w:gridCol w:w="1216"/>
        <w:gridCol w:w="1223"/>
        <w:gridCol w:w="401"/>
        <w:gridCol w:w="686"/>
        <w:gridCol w:w="517"/>
        <w:gridCol w:w="109"/>
        <w:gridCol w:w="109"/>
        <w:gridCol w:w="109"/>
        <w:gridCol w:w="376"/>
        <w:gridCol w:w="646"/>
        <w:gridCol w:w="567"/>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tbl>
      <w:tblPr>
        <w:tblW w:w="8930" w:type="dxa"/>
        <w:jc w:val="left"/>
        <w:tblInd w:w="0" w:type="dxa"/>
        <w:tblLayout w:type="fixed"/>
        <w:tblCellMar>
          <w:top w:w="28" w:type="dxa"/>
          <w:left w:w="28" w:type="dxa"/>
          <w:bottom w:w="28" w:type="dxa"/>
          <w:right w:w="28" w:type="dxa"/>
        </w:tblCellMar>
      </w:tblPr>
      <w:tblGrid>
        <w:gridCol w:w="2126"/>
        <w:gridCol w:w="1864"/>
        <w:gridCol w:w="1874"/>
        <w:gridCol w:w="350"/>
        <w:gridCol w:w="599"/>
        <w:gridCol w:w="181"/>
        <w:gridCol w:w="181"/>
        <w:gridCol w:w="181"/>
        <w:gridCol w:w="181"/>
        <w:gridCol w:w="350"/>
        <w:gridCol w:w="599"/>
        <w:gridCol w:w="181"/>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23"/>
        <w:gridCol w:w="371"/>
        <w:gridCol w:w="374"/>
        <w:gridCol w:w="451"/>
        <w:gridCol w:w="548"/>
        <w:gridCol w:w="233"/>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335"/>
        <w:gridCol w:w="407"/>
        <w:gridCol w:w="174"/>
        <w:gridCol w:w="109"/>
        <w:gridCol w:w="109"/>
        <w:gridCol w:w="109"/>
        <w:gridCol w:w="445"/>
        <w:gridCol w:w="573"/>
        <w:gridCol w:w="232"/>
        <w:gridCol w:w="109"/>
        <w:gridCol w:w="109"/>
        <w:gridCol w:w="109"/>
        <w:gridCol w:w="211"/>
        <w:gridCol w:w="361"/>
        <w:gridCol w:w="159"/>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(15)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$18 million and $89 million for all of our legal matters that were contingencies as of September 30, 2025 and December 31, 2024. In April 2025, the Company paid $73 million to resolve the TCS John Huxley legal matter, and the court dismissed the case with prejudice.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Colombia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SNAI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2012, SNAI filed a lawsuit in the Court of First Instance of Rome in Italy against Barcrest and The Global Draw Limited, our subsidiary which acquired Barcrest from IGT</w:t>
        <w:noBreakHyphen/>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On May 8, 2025, the court held a hearing on the pending motions for summary judgment. We are currently unable to determine the likelihood of an outcome or estimate a range of reasonably possible losses, if any. We believe that the claims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Mohawk Gaming Enterprises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Allah Beautiful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December 9, 2024.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Sprinkle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12, 2022, claimant Matthew Sprinkle filed an arbitration demand against respondent SciPlay Corporation before the American Arbitration Association. The demand asserts claims for alleged violations of Ohio’s anti-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December 9, 2024.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Andrea Sornberger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2023, plaintiff Andrea Sornberger filed a complaint against SciPlay Corporation and SciPlay Games, LLC in the Circuit Court of Franklin County, Alabama. The complaint asserts claims for alleged violations of Alabama’s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 On November 12, 2024, the parties jointly stipulated to dismiss the case without prejudice to time-related defenses, should the settlement agreement between the parties not become final. The parties signed a written settlement agreement on January 6, 2025, which is still subject to court approval. On March 25, 2025, the Court dismissed the case with prejudice, provided, however, that if the terms of the settlement were not fully consummated within 45 days of the order, then the Court would entertain a petition to reinstate the action. On March 28, 2025, plaintiff filed an unopposed motion to vacate the dismissal with prejudice and asked the Court to enter a dismissal order consistent with the parties’ agreed-upon stipulation of dismissal; the Court has not ruled on the plaintiff’s motion.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Roberts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Ebersole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June 13, 2025.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Murnaghan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June 12, 2025.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Ewing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13,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which the Sixth Circuit granted on January 17, 2025. On October 23, 2024, the District Court granted defendants’ motion to stay its remand order until the Sixth Circuit fully disposes of the petition for permission to appeal. On January 30, 2025, the Sixth Circuit granted the parties’ joint motion to stay the case until April 30, 2025. The Sixth Circuit has periodically extended the stay, most recently extending the stay on August 26, 2025. The parties signed a written settlement agreement on January 6, 2025, which is subject to court approval.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Fuqua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interests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The Court has periodically extended the stay, most recently extending the stay on October 6, 2025. The parties signed a written settlement agreement on January 6, 2025, which is subject to court approval.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Timothy Sornberger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9, 2025, plaintiffs Timothy Sornberger, Donovan Roberts, Matthew Sprinkle, Hope Murnaghan, Luke Whitney, Prince Imanifest Allah Beautiful, and Christopher Ebersole filed a putative multistate class action complaint against SciPlay Corporation and SciPlay Games, LLC in the Circuit Court of Franklin County, Alabama. The complaint asserts claims for alleged violations of anti-gambling statutes of the states of Alabama, Tennessee, Kentucky, Ohio, New Jersey, and Massachusetts. The plaintiffs seek to represent putative classes of individuals in their respective home states who spent money playing SciPlay’s online social casino games during various periods of time. The complaint seeks unspecified money damages, including recovery of monies allegedly lost by players of SciPlay’s online social casino games in the enumerated states, the award of interests and costs, attorneys’ fees and expenses and unspecified other relief. On January 17, 2025, the parties filed a notice of a proposed class settlement and a motion to stay the deadlines to answer or otherwise respond to the complaint. On January 17, 2025, the court stayed all deadlines in the action, pending the filing of a motion for preliminary approval of a class action settlement, which the plaintiffs filed on August 5, 2025. Also on August 5, 2025, the court entered an order preliminarily approving the class action settlement and setting a fairness hearing on the class action settlement for November 26, 2025.</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(United States)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serif" w:hAnsi="Times New Roman;serif"/>
          <w:b w:val="false"/>
          <w:i/>
          <w:color w:val="000000"/>
          <w:sz w:val="20"/>
        </w:rPr>
        <w:t>DRAGON TRAIN</w:t>
      </w:r>
      <w:r>
        <w:rPr>
          <w:rFonts w:ascii="Times New Roman;serif" w:hAnsi="Times New Roman;serif"/>
          <w:b w:val="false"/>
          <w:i/>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JEWEL OF THE DRAGON</w:t>
      </w:r>
      <w:r>
        <w:rPr>
          <w:rFonts w:ascii="Times New Roman;serif" w:hAnsi="Times New Roman;serif"/>
          <w:b w:val="false"/>
          <w:i/>
          <w:color w:val="000000"/>
          <w:sz w:val="13"/>
        </w:rPr>
        <w:t>®</w:t>
      </w:r>
      <w:r>
        <w:rPr>
          <w:color w:val="000000"/>
        </w:rPr>
        <w:t xml:space="preserve"> </w:t>
      </w:r>
      <w:r>
        <w:rPr>
          <w:rFonts w:ascii="Times New Roman;serif" w:hAnsi="Times New Roman;serif"/>
          <w:b w:val="false"/>
          <w:color w:val="000000"/>
          <w:sz w:val="20"/>
        </w:rPr>
        <w:t xml:space="preserve">games. Plaintiffs’ operative complaint seeks preliminary and permanent injunctive relief, unspecified damages, the award of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 preliminary injunction, which the court denied on January 3, 2025. On March 14, 2025, the plaintiffs filed a Second Amended Complaint, which defendants answered on April 11, 2025. On July 15, 2025, the plaintiffs filed a motion to extend the current pretrial deadlines, which the court granted on October 2, 2025. On July 17, 2025, the parties jointly filed a proposed stipulated order regarding the court’s preliminary injunction entered in September 2024. On October 17, 2025, the court granted plaintiffs’ renewed motion to obtain discovery of math models for certain Light &amp; Wonder hold and spin games released since 2021. Fact discovery in the lawsuit is set to close on December 15, 2025, and expert discovery is set to close on March 16, 2026. We are currently unable to determine the likelihood of an outcome or estimate a range of reasonably possible losses, if any. We intend to defend against the claims in the lawsuit.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(Australia)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breaches of the Australian Consumer Law, and copyright infringement relating to defendants’ Dragon Train games, and breach of confidence relating to defendants’ Jewel of the Dragon games. Plaintiff’s complaint seeks preliminary and permanent injunctive relief, unspecified damages or an account of profits, and the award of costs. On October 4, 2024, the plaintiff filed a motion for an interlocutory injunction, which it amended on November 12, 2024. On February 3, 2025, L&amp;W and LNW Gaming ANZ Pty Ltd. filed a defense to plaintiff’s complaint. On February 6, 2025, the court denied plaintiff’s motion for interlocutory injunction. On May 26, 2025, the plaintiff filed an amended complaint, and on June 3, 2025, L&amp;W and LNW Gaming ANZ Pty Ltd. filed a defense to plaintiff’s amended complaint. On July 7, 2025, the court entered an order directing that evidence in the proceeding is to be heard by the court in two tranches, with final orders being made after a hearing on the second tranche of evidence. The trial relating to the first tranche of evidence is provisionally scheduled for June 29, 2026 through July 17, 2026. We are currently unable to determine the likelihood of an outcome or estimate a range of reasonably possible losses, if any. We intend to defend against the claims in the lawsuit.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Evolution Matter</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w:t>
      </w:r>
      <w:r>
        <w:rPr>
          <w:rFonts w:ascii="Times New Roman;serif" w:hAnsi="Times New Roman;serif"/>
          <w:b w:val="false"/>
          <w:i/>
          <w:color w:val="000000"/>
          <w:sz w:val="20"/>
        </w:rPr>
        <w:t>ROULETTEX</w:t>
      </w:r>
      <w:r>
        <w:rPr>
          <w:rFonts w:ascii="Times New Roman;serif" w:hAnsi="Times New Roman;serif"/>
          <w:b w:val="false"/>
          <w:color w:val="000000"/>
          <w:sz w:val="20"/>
        </w:rPr>
        <w:t xml:space="preserve">® and </w:t>
      </w:r>
      <w:r>
        <w:rPr>
          <w:rFonts w:ascii="Times New Roman;serif" w:hAnsi="Times New Roman;serif"/>
          <w:b w:val="false"/>
          <w:i/>
          <w:color w:val="000000"/>
          <w:sz w:val="20"/>
        </w:rPr>
        <w:t>POWERX</w:t>
      </w:r>
      <w:r>
        <w:rPr>
          <w:rFonts w:ascii="Times New Roman;serif" w:hAnsi="Times New Roman;serif"/>
          <w:b w:val="false"/>
          <w:color w:val="000000"/>
          <w:sz w:val="20"/>
        </w:rPr>
        <w:t>® games and defendants’ 88 Fortunes Blaze Live Roulette game.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which the court granted on September 30, 2025. On April 10, 2025, Plaintiffs filed a First Amended Complaint and on May 15, 2025, defendants filed a motion to dismiss that First Amended Complaint, which the court denied as moot on September 30, 2025. Also on April 10, 2025, Plaintiffs filed a motion for leave to file a Second Amended Complaint, which the court granted on June 30, 2025. Plaintiffs filed their Second Amended Complaint on June 30, 2025, and defendants filed a motion to dismiss the claims for patent infringement in that complaint on August 8, 2025, which is pending. Also on August 8, 2025, the parties filed a joint stipulation to stay all discovery until and through January 16, 2026, which the court granted on August 11, 2025. We are currently unable to determine the likelihood of an outcome or estimate a range of reasonably possible losses, if any. We believe that the claims in the complaint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erif" w:hAnsi="Times New Roman;serif"/>
          <w:b w:val="false"/>
          <w:i/>
          <w:color w:val="000000"/>
          <w:sz w:val="20"/>
        </w:rPr>
        <w:t xml:space="preserve">Part I, Item 1 </w:t>
      </w:r>
      <w:r>
        <w:rPr>
          <w:color w:val="000000"/>
        </w:rPr>
        <w:t>“</w:t>
      </w:r>
      <w:r>
        <w:rPr>
          <w:rFonts w:ascii="Times New Roman;serif" w:hAnsi="Times New Roman;serif"/>
          <w:b w:val="false"/>
          <w:color w:val="000000"/>
          <w:sz w:val="20"/>
        </w:rPr>
        <w:t>Condensed Consolidated Financial Statements” and</w:t>
      </w:r>
      <w:r>
        <w:rPr>
          <w:color w:val="000000"/>
        </w:rPr>
        <w:t xml:space="preserve"> </w:t>
      </w:r>
      <w:r>
        <w:rPr>
          <w:rFonts w:ascii="Times New Roman;serif" w:hAnsi="Times New Roman;serif"/>
          <w:b w:val="false"/>
          <w:i/>
          <w:color w:val="000000"/>
          <w:sz w:val="20"/>
        </w:rPr>
        <w:t>Part II, Item 1A</w:t>
      </w:r>
      <w:r>
        <w:rPr>
          <w:color w:val="000000"/>
        </w:rPr>
        <w:t xml:space="preserve"> “</w:t>
      </w:r>
      <w:r>
        <w:rPr>
          <w:rFonts w:ascii="Times New Roman;serif" w:hAnsi="Times New Roman;serif"/>
          <w:b w:val="false"/>
          <w:color w:val="000000"/>
          <w:sz w:val="20"/>
        </w:rPr>
        <w:t xml:space="preserve">Risk Factors” in this Quarterly Report on Form 10-Q and under </w:t>
      </w:r>
      <w:r>
        <w:rPr>
          <w:rFonts w:ascii="Times New Roman;serif" w:hAnsi="Times New Roman;serif"/>
          <w:b w:val="false"/>
          <w:i/>
          <w:color w:val="000000"/>
          <w:sz w:val="20"/>
        </w:rPr>
        <w:t xml:space="preserve">Part I, Item 1 </w:t>
      </w:r>
      <w:r>
        <w:rPr>
          <w:color w:val="000000"/>
        </w:rPr>
        <w:t>“</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Risk Factors” and </w:t>
      </w:r>
      <w:r>
        <w:rPr>
          <w:rFonts w:ascii="Times New Roman;serif" w:hAnsi="Times New Roman;serif"/>
          <w:b w:val="false"/>
          <w:i/>
          <w:color w:val="000000"/>
          <w:sz w:val="20"/>
        </w:rPr>
        <w:t>Part II, 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2024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2024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As more fully described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Business” in our 2024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pull-tabs currently distributed over five U.S. states: North Dakota, Ohio, Virginia, Kentucky and New Hampshire. The Grover operating segment was aggregated with our Gaming reportable business segment.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15, 2025, LNWI borrowed an aggregate principal amount of $800 million in term loans under its LNWI Term Loan A facility maturing in May 2028, the proceeds of which were used to complete the Grover acquisition and pay fees and expenses related thereto. On September 24, 2025, we extended our debt maturities and decreased our interest rate by issuing $1.0 billion in aggregate principal amount of 6.250% senior unsecured notes due 2033, the net proceeds of which were used to redeem all $700 million of the 2028 Unsecured Notes, pay all outstanding borrowings under the LNWI Revolver and pay accrued and unpaid interest thereon plus related fees and expenses, with any remaining proceeds used for general corporate purposes, which may include repurchases of the Company’s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delivered a solid quarterly performance, highlighted by earnings and operating cash flows growth based on strong execution and game performance, while continuing to advance our robust content roadmap and cross-platform strategy. Consolidated revenue for the three months ended September 30, 2025 increased by 3% to $841 million, and it increased slightly to $2.4 billion for the nine months ended September 30, 2025, as compared to the prior year periods.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year-to-date period ended October 31, 2025, we returned $477 million (excluding excise tax) to shareholders through share repurchases and completed approximately 51% of our $1.5 billion share repurchase plan that was authorized in June 2024 and increased in July 2025.</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announced, we are in the process of moving from our current dual listing on Nasdaq and the ASX to a sole primary listing on the ASX, which is expected to take effect on November 13, 2025 (ET) and entails the conversion from an ASX Foreign Exempt Listing to an ASX Standard Listing (the “ASX Transition”). The ASX Transition, including the timetable thereof, remains subject to the ASX granting waivers and confirmations with respect to various conditions and other applicable U.S. and Australian regulatory, and other third-party, approval and processes.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of 2025, the U.S. government and many foreign countries imposed a series of new trade tariffs and other changes in trade policy. In addition, in response to these tariffs, other countries have implemented retaliatory tariffs and other measures impacting U.S. goods. These tariffs place additional duties on imports, and we currently source a portion of the raw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materials and components for our Gaming business from China and across Asia. We have evaluated various mitigation strategies, including but not limited to, supplier diversification, adjusting supply chain operations, supplier pricing negotiations and cost control initiatives, among other measures. Over the past several quarters, through margin enhancement initiatives, we have also successfully executed meaningful operational efficiencies. While we expect recent tariffs and trade policies to continue to create incremental cost pressures in the near term, our realized and ongoing operational efficiency initiatives coupled with other measures are expected to significantly mitigate these effects. Additionally, as described above, overall macroeconomic uncertainty, including tariffs, is impacting some of our customers and their game replacement cycle as they are being more cautious on the timing of their capital expenditures. The full impact of the tariffs on our financial results will depend on several factors, including the duration and magnitude of the trade measures, our customer behavior and timing of capital expenditures, overall market conditions and our ability to successfully execute our mitigation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CONSOLIDATED RESULTS</w:t>
      </w:r>
    </w:p>
    <w:tbl>
      <w:tblPr>
        <w:tblW w:w="10752" w:type="dxa"/>
        <w:jc w:val="center"/>
        <w:tblInd w:w="0" w:type="dxa"/>
        <w:tblLayout w:type="fixed"/>
        <w:tblCellMar>
          <w:top w:w="28" w:type="dxa"/>
          <w:left w:w="28" w:type="dxa"/>
          <w:bottom w:w="28" w:type="dxa"/>
          <w:right w:w="28" w:type="dxa"/>
        </w:tblCellMar>
      </w:tblPr>
      <w:tblGrid>
        <w:gridCol w:w="471"/>
        <w:gridCol w:w="229"/>
        <w:gridCol w:w="231"/>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79"/>
        <w:gridCol w:w="182"/>
        <w:gridCol w:w="271"/>
        <w:gridCol w:w="109"/>
        <w:gridCol w:w="109"/>
        <w:gridCol w:w="109"/>
        <w:gridCol w:w="211"/>
        <w:gridCol w:w="616"/>
        <w:gridCol w:w="109"/>
        <w:gridCol w:w="109"/>
        <w:gridCol w:w="109"/>
        <w:gridCol w:w="109"/>
        <w:gridCol w:w="211"/>
        <w:gridCol w:w="616"/>
        <w:gridCol w:w="109"/>
        <w:gridCol w:w="109"/>
        <w:gridCol w:w="109"/>
        <w:gridCol w:w="109"/>
        <w:gridCol w:w="211"/>
        <w:gridCol w:w="361"/>
        <w:gridCol w:w="109"/>
        <w:gridCol w:w="109"/>
        <w:gridCol w:w="109"/>
        <w:gridCol w:w="109"/>
        <w:gridCol w:w="179"/>
        <w:gridCol w:w="182"/>
        <w:gridCol w:w="271"/>
        <w:gridCol w:w="109"/>
        <w:gridCol w:w="109"/>
        <w:gridCol w:w="109"/>
        <w:gridCol w:w="109"/>
        <w:gridCol w:w="109"/>
        <w:gridCol w:w="109"/>
        <w:gridCol w:w="109"/>
        <w:gridCol w:w="109"/>
        <w:gridCol w:w="109"/>
        <w:gridCol w:w="109"/>
        <w:gridCol w:w="109"/>
        <w:gridCol w:w="109"/>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821" w:type="dxa"/>
            <w:gridSpan w:val="58"/>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564"/>
        <w:gridCol w:w="1362"/>
        <w:gridCol w:w="1355"/>
        <w:gridCol w:w="502"/>
        <w:gridCol w:w="502"/>
        <w:gridCol w:w="502"/>
        <w:gridCol w:w="1371"/>
        <w:gridCol w:w="1364"/>
        <w:gridCol w:w="1415"/>
        <w:gridCol w:w="109"/>
        <w:gridCol w:w="159"/>
      </w:tblGrid>
      <w:tr>
        <w:trPr/>
        <w:tc>
          <w:tcPr>
            <w:tcW w:w="156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Revenue by Reportable Business Segment</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268" w:type="dxa"/>
            <w:gridSpan w:val="2"/>
            <w:tcBorders/>
          </w:tcPr>
          <w:p>
            <w:pPr>
              <w:pStyle w:val="TableContents"/>
              <w:bidi w:val="0"/>
              <w:spacing w:before="0" w:after="283"/>
              <w:jc w:val="left"/>
              <w:rPr>
                <w:sz w:val="4"/>
                <w:szCs w:val="4"/>
              </w:rPr>
            </w:pPr>
            <w:r>
              <w:rPr>
                <w:sz w:val="4"/>
                <w:szCs w:val="4"/>
              </w:rPr>
            </w:r>
          </w:p>
        </w:tc>
      </w:tr>
      <w:tr>
        <w:trPr/>
        <w:tc>
          <w:tcPr>
            <w:tcW w:w="4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 and 2024</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 and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3228975" cy="27432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3228975" cy="2743200"/>
                    </a:xfrm>
                    <a:prstGeom prst="rect">
                      <a:avLst/>
                    </a:prstGeom>
                  </pic:spPr>
                </pic:pic>
              </a:graphicData>
            </a:graphic>
          </wp:inline>
        </w:drawing>
      </w:r>
      <w:bookmarkStart w:id="1" w:name="i-2"/>
      <w:bookmarkEnd w:id="1"/>
      <w:r>
        <w:rPr/>
        <w:drawing>
          <wp:inline distT="0" distB="0" distL="0" distR="0">
            <wp:extent cx="3228975" cy="2743200"/>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3228975" cy="2743200"/>
                    </a:xfrm>
                    <a:prstGeom prst="rect">
                      <a:avLst/>
                    </a:prstGeom>
                  </pic:spPr>
                </pic:pic>
              </a:graphicData>
            </a:graphic>
          </wp:inline>
        </w:drawing>
      </w:r>
      <w:bookmarkStart w:id="2" w:name="i-3"/>
      <w:bookmarkEnd w:id="2"/>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increased 4% and 2% for the three and nine months ended September 30, 2025, respectively, as compared to the prior year periods. Revenue growth for both periods was primarily driven by higher Gaming operations revenue driving an increase of $26 million and $48 million for the three and nine months ended September 30, 2025, respectively, supported by our diversified portfolio of high-performing game franchises, along with $40 million and $61 million in revenue from Grover, respectively.</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4% and 3% for the three and nine months ended September 30, 2025, respectively, as compared to the prior year periods,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color w:val="000000"/>
          <w:sz w:val="20"/>
        </w:rPr>
        <w:t xml:space="preserve">Casino, partially offset by an increase in average monthly revenue per paying user, which increased 11% and 8% for the three and nine months ended September 30, 2025, respectively. Revenue generated via the proprietary direct-to-consumer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continues to increase and represented approximately 20% and 17% of total SciPlay revenue for the three and nine months ended September 30, 2025, respectively.</w:t>
      </w:r>
    </w:p>
    <w:p>
      <w:pPr>
        <w:pStyle w:val="TextBody"/>
        <w:bidi w:val="0"/>
        <w:spacing w:lineRule="auto" w:line="288" w:before="0" w:after="160"/>
        <w:ind w:left="0" w:right="0" w:firstLine="720"/>
        <w:jc w:val="left"/>
        <w:rPr/>
      </w:pPr>
      <w:r>
        <w:rPr>
          <w:rFonts w:ascii="Times New Roman;serif" w:hAnsi="Times New Roman;serif"/>
          <w:b w:val="false"/>
          <w:color w:val="000000"/>
          <w:sz w:val="20"/>
        </w:rPr>
        <w:t>iGaming revenue increased 16% and 10% for the three and nine months ended September 30, 2025</w:t>
      </w:r>
      <w:r>
        <w:rPr>
          <w:rFonts w:ascii="Times New Roman;serif" w:hAnsi="Times New Roman;serif"/>
          <w:b w:val="false"/>
          <w:color w:val="000000"/>
          <w:sz w:val="20"/>
          <w:shd w:fill="FFFFFF" w:val="clear"/>
        </w:rPr>
        <w:t xml:space="preserve">, respectively, driven primarily by </w:t>
      </w:r>
      <w:r>
        <w:rPr>
          <w:rFonts w:ascii="Times New Roman;serif" w:hAnsi="Times New Roman;serif"/>
          <w:b w:val="false"/>
          <w:color w:val="000000"/>
          <w:sz w:val="20"/>
        </w:rPr>
        <w:t>continued momentum in the North American markets underpinned by first-party content (“1PP”) proliferation and the expansion of our partner network.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205" w:type="dxa"/>
        <w:jc w:val="center"/>
        <w:tblInd w:w="0" w:type="dxa"/>
        <w:tblLayout w:type="fixed"/>
        <w:tblCellMar>
          <w:top w:w="28" w:type="dxa"/>
          <w:left w:w="28" w:type="dxa"/>
          <w:bottom w:w="28" w:type="dxa"/>
          <w:right w:w="28" w:type="dxa"/>
        </w:tblCellMar>
      </w:tblPr>
      <w:tblGrid>
        <w:gridCol w:w="663"/>
        <w:gridCol w:w="414"/>
        <w:gridCol w:w="307"/>
        <w:gridCol w:w="229"/>
        <w:gridCol w:w="506"/>
        <w:gridCol w:w="118"/>
        <w:gridCol w:w="118"/>
        <w:gridCol w:w="118"/>
        <w:gridCol w:w="118"/>
        <w:gridCol w:w="229"/>
        <w:gridCol w:w="506"/>
        <w:gridCol w:w="118"/>
        <w:gridCol w:w="109"/>
        <w:gridCol w:w="109"/>
        <w:gridCol w:w="109"/>
        <w:gridCol w:w="211"/>
        <w:gridCol w:w="410"/>
        <w:gridCol w:w="109"/>
        <w:gridCol w:w="109"/>
        <w:gridCol w:w="109"/>
        <w:gridCol w:w="109"/>
        <w:gridCol w:w="205"/>
        <w:gridCol w:w="205"/>
        <w:gridCol w:w="271"/>
        <w:gridCol w:w="109"/>
        <w:gridCol w:w="109"/>
        <w:gridCol w:w="109"/>
        <w:gridCol w:w="220"/>
        <w:gridCol w:w="644"/>
        <w:gridCol w:w="113"/>
        <w:gridCol w:w="113"/>
        <w:gridCol w:w="113"/>
        <w:gridCol w:w="113"/>
        <w:gridCol w:w="220"/>
        <w:gridCol w:w="644"/>
        <w:gridCol w:w="113"/>
        <w:gridCol w:w="109"/>
        <w:gridCol w:w="109"/>
        <w:gridCol w:w="109"/>
        <w:gridCol w:w="211"/>
        <w:gridCol w:w="385"/>
        <w:gridCol w:w="109"/>
        <w:gridCol w:w="109"/>
        <w:gridCol w:w="109"/>
        <w:gridCol w:w="109"/>
        <w:gridCol w:w="192"/>
        <w:gridCol w:w="192"/>
        <w:gridCol w:w="333"/>
      </w:tblGrid>
      <w:tr>
        <w:trPr/>
        <w:tc>
          <w:tcPr>
            <w:tcW w:w="6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erif" w:hAnsi="Times New Roman;serif"/>
                <w:b w:val="false"/>
                <w:color w:val="000000"/>
                <w:sz w:val="20"/>
              </w:rPr>
              <w:t>Cost of services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erif" w:hAnsi="Times New Roman;serif"/>
                <w:b w:val="false"/>
                <w:color w:val="000000"/>
                <w:sz w:val="20"/>
              </w:rPr>
              <w:t>Cost of products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821" w:type="dxa"/>
            <w:gridSpan w:val="45"/>
            <w:tcBorders/>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821"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 of revenue decreased 12% and 8% for the three and nine months ended September 30, 2025, respectively, primarily as a result of lower cost of products in correlation with lower gaming machine sales revenue.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decreased $13 million for the nine months ended September 30, 2025, as compared to the prior year period. The change was primarily driven by lower SciPlay user acquisition costs of $9 million.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D&amp;A increased 20% and 13% for the three and nine months ended September 30, 2025, respectively, primarily due to depreciation related to Gaming operations installed base investments and growth, as well as D&amp;A associated with assets acquired from the Grover acquisition.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decreased for the three and nine months ended September 30, 2025, primarily due to $34 million and $66 million associated with charges related to certain legal matters in the three and nine months ended September 30, 2024, respectively, partially offset by an increase in costs related to strategic review and related transactions for the nine months ended September 30, 2025, including legal and professional service fees associated with the acquisition of Grover of $14 million and $10 million in iGaming charges primarily related to the discontinuation of our iGaming Live Casino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Factors Affecting Net Income</w:t>
      </w:r>
    </w:p>
    <w:tbl>
      <w:tblPr>
        <w:tblW w:w="10205" w:type="dxa"/>
        <w:jc w:val="left"/>
        <w:tblInd w:w="0" w:type="dxa"/>
        <w:tblLayout w:type="fixed"/>
        <w:tblCellMar>
          <w:top w:w="28" w:type="dxa"/>
          <w:left w:w="28" w:type="dxa"/>
          <w:bottom w:w="28" w:type="dxa"/>
          <w:right w:w="28" w:type="dxa"/>
        </w:tblCellMar>
      </w:tblPr>
      <w:tblGrid>
        <w:gridCol w:w="526"/>
        <w:gridCol w:w="438"/>
        <w:gridCol w:w="396"/>
        <w:gridCol w:w="261"/>
        <w:gridCol w:w="369"/>
        <w:gridCol w:w="135"/>
        <w:gridCol w:w="135"/>
        <w:gridCol w:w="135"/>
        <w:gridCol w:w="135"/>
        <w:gridCol w:w="261"/>
        <w:gridCol w:w="369"/>
        <w:gridCol w:w="135"/>
        <w:gridCol w:w="109"/>
        <w:gridCol w:w="109"/>
        <w:gridCol w:w="109"/>
        <w:gridCol w:w="261"/>
        <w:gridCol w:w="317"/>
        <w:gridCol w:w="135"/>
        <w:gridCol w:w="135"/>
        <w:gridCol w:w="135"/>
        <w:gridCol w:w="135"/>
        <w:gridCol w:w="261"/>
        <w:gridCol w:w="447"/>
        <w:gridCol w:w="135"/>
        <w:gridCol w:w="109"/>
        <w:gridCol w:w="109"/>
        <w:gridCol w:w="109"/>
        <w:gridCol w:w="1282"/>
        <w:gridCol w:w="1240"/>
        <w:gridCol w:w="1773"/>
      </w:tblGrid>
      <w:tr>
        <w:trPr/>
        <w:tc>
          <w:tcPr>
            <w:tcW w:w="5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Factors Affecting Net Income</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5"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5"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5"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change in other (expense) income, net was primarily due to the impact of changes in foreign currency exchange rates, coupled with a decrease in interest income.</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increase in income tax expense was primarily due to the increase in worldwide income.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For additional information regarding our income tax expense, see Note 13.</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(F/X)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are impacted by changes in foreign currency exchange rates used in the translation of foreign functional currencies into USD and the re-measurement of foreign currency transactions or balances. The impact of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exchange rate fluctuations represents the difference between current rates and prior-period rates applied to current activity. Our exposure to foreign currency volatility on revenue is as follows:</w:t>
      </w:r>
    </w:p>
    <w:tbl>
      <w:tblPr>
        <w:tblW w:w="11833" w:type="dxa"/>
        <w:jc w:val="center"/>
        <w:tblInd w:w="0" w:type="dxa"/>
        <w:tblLayout w:type="fixed"/>
        <w:tblCellMar>
          <w:top w:w="28" w:type="dxa"/>
          <w:left w:w="28" w:type="dxa"/>
          <w:bottom w:w="28" w:type="dxa"/>
          <w:right w:w="28" w:type="dxa"/>
        </w:tblCellMar>
      </w:tblPr>
      <w:tblGrid>
        <w:gridCol w:w="501"/>
        <w:gridCol w:w="229"/>
        <w:gridCol w:w="231"/>
        <w:gridCol w:w="223"/>
        <w:gridCol w:w="382"/>
        <w:gridCol w:w="116"/>
        <w:gridCol w:w="109"/>
        <w:gridCol w:w="109"/>
        <w:gridCol w:w="109"/>
        <w:gridCol w:w="281"/>
        <w:gridCol w:w="281"/>
        <w:gridCol w:w="699"/>
        <w:gridCol w:w="109"/>
        <w:gridCol w:w="109"/>
        <w:gridCol w:w="109"/>
        <w:gridCol w:w="223"/>
        <w:gridCol w:w="382"/>
        <w:gridCol w:w="116"/>
        <w:gridCol w:w="109"/>
        <w:gridCol w:w="109"/>
        <w:gridCol w:w="109"/>
        <w:gridCol w:w="281"/>
        <w:gridCol w:w="281"/>
        <w:gridCol w:w="699"/>
        <w:gridCol w:w="109"/>
        <w:gridCol w:w="109"/>
        <w:gridCol w:w="109"/>
        <w:gridCol w:w="223"/>
        <w:gridCol w:w="382"/>
        <w:gridCol w:w="116"/>
        <w:gridCol w:w="109"/>
        <w:gridCol w:w="109"/>
        <w:gridCol w:w="109"/>
        <w:gridCol w:w="281"/>
        <w:gridCol w:w="281"/>
        <w:gridCol w:w="699"/>
        <w:gridCol w:w="109"/>
        <w:gridCol w:w="109"/>
        <w:gridCol w:w="109"/>
        <w:gridCol w:w="109"/>
        <w:gridCol w:w="109"/>
        <w:gridCol w:w="109"/>
        <w:gridCol w:w="109"/>
        <w:gridCol w:w="211"/>
        <w:gridCol w:w="466"/>
        <w:gridCol w:w="109"/>
        <w:gridCol w:w="109"/>
        <w:gridCol w:w="109"/>
        <w:gridCol w:w="109"/>
        <w:gridCol w:w="281"/>
        <w:gridCol w:w="281"/>
        <w:gridCol w:w="69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415"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415"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72" w:type="dxa"/>
            <w:gridSpan w:val="5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 xml:space="preserve">REPORTABLE BUSINESS SEGMENT RESULTS </w:t>
      </w:r>
      <w:r>
        <w:rPr>
          <w:rFonts w:ascii="Times New Roman;serif" w:hAnsi="Times New Roman;serif"/>
          <w:b/>
          <w:i/>
          <w:color w:val="000000"/>
          <w:sz w:val="20"/>
        </w:rPr>
        <w:t>(for the three and nine months ended September 30, 2025 compared to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Grover revenues are generated by providing charitable gaming entities with access to proprietary electronic pull tabs equipment, content and related offerings that allow charities to maximize their funding and for which Grover is compensated based upon a revenue participation model. Grover currently operates in five states (as described above) with over 11,250 active units and 1,500 locations and is well positioned to capitalize on future expansion and legalization of charitable gaming.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additional information, refer to the Gaming primary business activities summary included within “Business Segment Results” under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of our 2024 10-K.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for the three months ended September 30, 2025 increased by 4%, primarily driven by growth in Gaming operations revenue of 38%, which benefited from a $26 million, or 15%, increase supported by our diversified portfolio of high-performing game franchises along with $40 million in Grover revenue contributions. Gaming revenue for the nine months ended September 30, 2025 increased by 2% as compared to the prior year period. The change in Gaming revenue also benefited from Table products growth of 6% and 5% for the three and nine months ended September 30, 2025, respectively.</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Our growth is driven by the continued strength and success of our diversified portfolio of successful game franchises, including </w:t>
      </w:r>
      <w:r>
        <w:rPr>
          <w:rFonts w:ascii="Times New Roman;serif" w:hAnsi="Times New Roman;serif"/>
          <w:b w:val="false"/>
          <w:i/>
          <w:color w:val="000000"/>
          <w:sz w:val="20"/>
        </w:rPr>
        <w:t>KONG: SKULL ISLAND</w:t>
      </w:r>
      <w:r>
        <w:rPr>
          <w:rFonts w:ascii="Times New Roman;serif" w:hAnsi="Times New Roman;serif"/>
          <w:b w:val="false"/>
          <w:color w:val="000000"/>
          <w:sz w:val="20"/>
        </w:rPr>
        <w:t xml:space="preserve">, </w:t>
      </w:r>
      <w:r>
        <w:rPr>
          <w:rFonts w:ascii="Times New Roman;serif" w:hAnsi="Times New Roman;serif"/>
          <w:b w:val="false"/>
          <w:i/>
          <w:color w:val="000000"/>
          <w:sz w:val="20"/>
        </w:rPr>
        <w:t>HUFF N’ PUFF</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ULTIMATE FIRE LINK</w:t>
      </w:r>
      <w:r>
        <w:rPr>
          <w:rFonts w:ascii="Times New Roman;serif" w:hAnsi="Times New Roman;serif"/>
          <w:b w:val="false"/>
          <w:color w:val="000000"/>
          <w:sz w:val="13"/>
        </w:rPr>
        <w:t>®</w:t>
      </w:r>
      <w:r>
        <w:rPr>
          <w:rFonts w:ascii="Times New Roman;serif" w:hAnsi="Times New Roman;serif"/>
          <w:b w:val="false"/>
          <w:color w:val="000000"/>
          <w:sz w:val="20"/>
        </w:rPr>
        <w:t xml:space="preserve">, INVADERS! </w:t>
      </w:r>
      <w:r>
        <w:rPr>
          <w:rFonts w:ascii="Times New Roman;serif" w:hAnsi="Times New Roman;serif"/>
          <w:b w:val="false"/>
          <w:i/>
          <w:color w:val="000000"/>
          <w:sz w:val="20"/>
        </w:rPr>
        <w:t>ATTACK FROM THE PLANET MOOLAH</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FRANKENSTEIN</w:t>
      </w:r>
      <w:r>
        <w:rPr>
          <w:rFonts w:ascii="Times New Roman;serif" w:hAnsi="Times New Roman;serif"/>
          <w:b w:val="false"/>
          <w:color w:val="000000"/>
          <w:sz w:val="20"/>
        </w:rPr>
        <w:t>, our hit Asian-themed games </w:t>
      </w:r>
      <w:r>
        <w:rPr>
          <w:rFonts w:ascii="Times New Roman;serif" w:hAnsi="Times New Roman;serif"/>
          <w:b w:val="false"/>
          <w:i/>
          <w:color w:val="000000"/>
          <w:sz w:val="20"/>
        </w:rPr>
        <w:t>88 FORTUNES</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DANCING DRUMS</w:t>
      </w:r>
      <w:r>
        <w:rPr>
          <w:rFonts w:ascii="Times New Roman;serif" w:hAnsi="Times New Roman;serif"/>
          <w:b w:val="false"/>
          <w:color w:val="000000"/>
          <w:sz w:val="13"/>
        </w:rPr>
        <w:t>®</w:t>
      </w:r>
      <w:r>
        <w:rPr>
          <w:rFonts w:ascii="Times New Roman;serif" w:hAnsi="Times New Roman;serif"/>
          <w:b w:val="false"/>
          <w:color w:val="000000"/>
          <w:sz w:val="20"/>
        </w:rPr>
        <w:t>, stepper favorites </w:t>
      </w:r>
      <w:r>
        <w:rPr>
          <w:rFonts w:ascii="Times New Roman;serif" w:hAnsi="Times New Roman;serif"/>
          <w:b w:val="false"/>
          <w:i/>
          <w:color w:val="000000"/>
          <w:sz w:val="20"/>
        </w:rPr>
        <w:t>QUICK HIT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and </w:t>
      </w:r>
      <w:r>
        <w:rPr>
          <w:rFonts w:ascii="Times New Roman;serif" w:hAnsi="Times New Roman;serif"/>
          <w:b w:val="false"/>
          <w:i/>
          <w:color w:val="000000"/>
          <w:sz w:val="20"/>
        </w:rPr>
        <w:t>BLAZING 777</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the success of our </w:t>
      </w:r>
      <w:r>
        <w:rPr>
          <w:rFonts w:ascii="Times New Roman;serif" w:hAnsi="Times New Roman;serif"/>
          <w:b w:val="false"/>
          <w:i/>
          <w:color w:val="000000"/>
          <w:sz w:val="20"/>
        </w:rPr>
        <w:t>COSMIC</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COSMIC UPRIGHT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HORIZON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cabinets. We are actively monitoring any impact of recent tariffs, inflationary pressures, supply chain disruptions and macroeconomic uncertainty that may impact our operations and financial results. See the “Business Overview” section above and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for information regarding recent trade tariffs which may have a significant impact on our Gaming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5264" w:type="dxa"/>
        <w:jc w:val="center"/>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c>
      </w:tr>
    </w:tbl>
    <w:p>
      <w:pPr>
        <w:pStyle w:val="TextBody"/>
        <w:bidi w:val="0"/>
        <w:spacing w:before="0" w:after="0"/>
        <w:jc w:val="center"/>
        <w:rPr/>
      </w:pPr>
      <w:r>
        <w:rPr/>
        <w:drawing>
          <wp:inline distT="0" distB="0" distL="0" distR="0">
            <wp:extent cx="2143125" cy="2924175"/>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5"/>
                    <a:stretch>
                      <a:fillRect/>
                    </a:stretch>
                  </pic:blipFill>
                  <pic:spPr bwMode="auto">
                    <a:xfrm>
                      <a:off x="0" y="0"/>
                      <a:ext cx="2143125" cy="2924175"/>
                    </a:xfrm>
                    <a:prstGeom prst="rect">
                      <a:avLst/>
                    </a:prstGeom>
                  </pic:spPr>
                </pic:pic>
              </a:graphicData>
            </a:graphic>
          </wp:inline>
        </w:drawing>
      </w:r>
      <w:bookmarkStart w:id="3" w:name="i-4"/>
      <w:bookmarkEnd w:id="3"/>
      <w:r>
        <w:rPr/>
        <w:drawing>
          <wp:inline distT="0" distB="0" distL="0" distR="0">
            <wp:extent cx="2143125" cy="2924175"/>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6"/>
                    <a:stretch>
                      <a:fillRect/>
                    </a:stretch>
                  </pic:blipFill>
                  <pic:spPr bwMode="auto">
                    <a:xfrm>
                      <a:off x="0" y="0"/>
                      <a:ext cx="2143125" cy="2924175"/>
                    </a:xfrm>
                    <a:prstGeom prst="rect">
                      <a:avLst/>
                    </a:prstGeom>
                  </pic:spPr>
                </pic:pic>
              </a:graphicData>
            </a:graphic>
          </wp:inline>
        </w:drawing>
      </w:r>
      <w:bookmarkStart w:id="4" w:name="i-5"/>
      <w:bookmarkEnd w:id="4"/>
      <w:r>
        <w:rPr/>
        <w:drawing>
          <wp:inline distT="0" distB="0" distL="0" distR="0">
            <wp:extent cx="2143125" cy="2924175"/>
            <wp:effectExtent l="0" t="0" r="0" b="0"/>
            <wp:docPr id="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6" descr=""/>
                    <pic:cNvPicPr>
                      <a:picLocks noChangeAspect="1" noChangeArrowheads="1"/>
                    </pic:cNvPicPr>
                  </pic:nvPicPr>
                  <pic:blipFill>
                    <a:blip r:embed="rId7"/>
                    <a:stretch>
                      <a:fillRect/>
                    </a:stretch>
                  </pic:blipFill>
                  <pic:spPr bwMode="auto">
                    <a:xfrm>
                      <a:off x="0" y="0"/>
                      <a:ext cx="2143125" cy="2924175"/>
                    </a:xfrm>
                    <a:prstGeom prst="rect">
                      <a:avLst/>
                    </a:prstGeom>
                  </pic:spPr>
                </pic:pic>
              </a:graphicData>
            </a:graphic>
          </wp:inline>
        </w:drawing>
      </w:r>
      <w:bookmarkStart w:id="5" w:name="i-6"/>
      <w:bookmarkEnd w:id="5"/>
    </w:p>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865" w:type="dxa"/>
        <w:jc w:val="center"/>
        <w:tblInd w:w="0" w:type="dxa"/>
        <w:tblLayout w:type="fixed"/>
        <w:tblCellMar>
          <w:top w:w="28" w:type="dxa"/>
          <w:left w:w="28" w:type="dxa"/>
          <w:bottom w:w="28" w:type="dxa"/>
          <w:right w:w="28" w:type="dxa"/>
        </w:tblCellMar>
      </w:tblPr>
      <w:tblGrid>
        <w:gridCol w:w="663"/>
        <w:gridCol w:w="253"/>
        <w:gridCol w:w="25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6"/>
        <w:gridCol w:w="190"/>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 except per unit amounts)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operations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impact 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and Canada units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 units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new unit shipments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new unit shipments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unit shipments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new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65"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Inclusive of Grover active devices.</w:t>
              <w:br/>
              <w:t>(2) Units exclude those related to game content licensing.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operations revenue growth for the three months ended September 30, 2025 was driven by a $26 million, or 15%, increase driven by strong game performance of hit franchises, including our premium games, as well as a contribution of $40 million in revenue from Grover. For the nine months ended September 30, 2025, these drivers impacted revenue growth by $48 million and $61 million, respectively. Gaming operations for the U.S. and Canada (excluding Grover) had a 2,834-unit increase in installed base from the prior year period end, while Grover had an 11,255-unit active installed base as of September 30, 2025. Gaming operations (including Grover) had a decrease in average daily revenue per unit of $3.70 and $2.65 for the three and nine months ended September 30, 2025, respectively, as growth related to our existing U.S. and Canada units was offset by the inclusion of lower-yielding Grover units. Average daily revenue per unit for International units increased by $1.08 and $0.93 for the three and nine months ended September 30, 2025, respectively. International ending installed base units decreased by 1,932 units from September 30, 2024 to September 30, 2025, primarily due to the expected closure of certain LBOs in the U.K. and the reduction of certain low-yielding units in Latin America.</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machine sales revenue for both periods decreased primarily due to the timing of international game sales, including overall more cautious purchasing behavior and delayed capital expenditure among some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Gaming machine sales changes:</w:t>
      </w:r>
    </w:p>
    <w:tbl>
      <w:tblPr>
        <w:tblW w:w="10205" w:type="dxa"/>
        <w:jc w:val="center"/>
        <w:tblInd w:w="0" w:type="dxa"/>
        <w:tblLayout w:type="fixed"/>
        <w:tblCellMar>
          <w:top w:w="28" w:type="dxa"/>
          <w:left w:w="28" w:type="dxa"/>
          <w:bottom w:w="28" w:type="dxa"/>
          <w:right w:w="28" w:type="dxa"/>
        </w:tblCellMar>
      </w:tblPr>
      <w:tblGrid>
        <w:gridCol w:w="675"/>
        <w:gridCol w:w="420"/>
        <w:gridCol w:w="422"/>
        <w:gridCol w:w="321"/>
        <w:gridCol w:w="299"/>
        <w:gridCol w:w="146"/>
        <w:gridCol w:w="146"/>
        <w:gridCol w:w="146"/>
        <w:gridCol w:w="146"/>
        <w:gridCol w:w="321"/>
        <w:gridCol w:w="299"/>
        <w:gridCol w:w="146"/>
        <w:gridCol w:w="109"/>
        <w:gridCol w:w="109"/>
        <w:gridCol w:w="109"/>
        <w:gridCol w:w="320"/>
        <w:gridCol w:w="321"/>
        <w:gridCol w:w="109"/>
        <w:gridCol w:w="109"/>
        <w:gridCol w:w="109"/>
        <w:gridCol w:w="109"/>
        <w:gridCol w:w="205"/>
        <w:gridCol w:w="205"/>
        <w:gridCol w:w="271"/>
        <w:gridCol w:w="109"/>
        <w:gridCol w:w="109"/>
        <w:gridCol w:w="109"/>
        <w:gridCol w:w="500"/>
        <w:gridCol w:w="236"/>
        <w:gridCol w:w="144"/>
        <w:gridCol w:w="144"/>
        <w:gridCol w:w="144"/>
        <w:gridCol w:w="144"/>
        <w:gridCol w:w="500"/>
        <w:gridCol w:w="236"/>
        <w:gridCol w:w="144"/>
        <w:gridCol w:w="109"/>
        <w:gridCol w:w="109"/>
        <w:gridCol w:w="109"/>
        <w:gridCol w:w="320"/>
        <w:gridCol w:w="321"/>
        <w:gridCol w:w="109"/>
        <w:gridCol w:w="109"/>
        <w:gridCol w:w="109"/>
        <w:gridCol w:w="109"/>
        <w:gridCol w:w="193"/>
        <w:gridCol w:w="193"/>
        <w:gridCol w:w="324"/>
      </w:tblGrid>
      <w:tr>
        <w:trPr/>
        <w:tc>
          <w:tcPr>
            <w:tcW w:w="6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unit shipments: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unit shipments:</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$8 million and $23 million for the three and nine months ended September 30, 2025, respectively, as compared to the corresponding prior year periods, primarily due to $22 million and $44 million, respectively, in higher D&amp;A, of which $15 million and $25 million, respectively, is related to Grover, and the remainder of which is related to increased Gaming operations investment, coupled with $5 million and $24 million, respectively, in higher salaries and benefits (including stock-based compensation), partially offset by lower cost of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increased by $38 million and $68 million for the three and nine months ended September 30, 2025, respectively, which is primarily related to margin expansion and a contribution from Grover since the acquisition closed in May 2025. AEBITDA as a percentage of revenue (“AEBITDA margin”) increased to 55% and 53% for the three and nine months ended September 30, 2025, respectively, as compared to 50% for both corresponding prior year periods, driven by a more favorable revenue mix, margin enhancements initiatives, Grover contributions and the impact of our incentive compensation payout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presented. Players who install these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currently offers a variety of social casino games, including </w:t>
      </w:r>
      <w:r>
        <w:rPr>
          <w:rFonts w:ascii="Times New Roman;serif" w:hAnsi="Times New Roman;serif"/>
          <w:b w:val="false"/>
          <w:i/>
          <w:color w:val="000000"/>
          <w:sz w:val="20"/>
        </w:rPr>
        <w:t>JACKPOT PARTY® Casino, QUICK HIT® Slots, GOLD FISH® Casino, 88 FORTUNES® Slots, MONOPOLY Slots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HOT SHOT CASINO®</w:t>
      </w:r>
      <w:r>
        <w:rPr>
          <w:rFonts w:ascii="Times New Roman;serif" w:hAnsi="Times New Roman;serif"/>
          <w:b w:val="false"/>
          <w:color w:val="000000"/>
          <w:sz w:val="20"/>
        </w:rPr>
        <w:t xml:space="preserve">. SciPlay continues to pursue its strategy of expanding into the online games market. Current casual game titles include </w:t>
      </w:r>
      <w:r>
        <w:rPr>
          <w:rFonts w:ascii="Times New Roman;serif" w:hAnsi="Times New Roman;serif"/>
          <w:b w:val="false"/>
          <w:i/>
          <w:color w:val="000000"/>
          <w:sz w:val="20"/>
        </w:rPr>
        <w:t>BINGO SHOWDOWN®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BACKGAMMON LIVE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SciPlay </w:t>
      </w:r>
      <w:r>
        <w:rPr>
          <w:rFonts w:ascii="Times New Roman;serif" w:hAnsi="Times New Roman;serif"/>
          <w:b w:val="false"/>
          <w:color w:val="000000"/>
          <w:sz w:val="20"/>
        </w:rPr>
        <w:t xml:space="preserve">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erif" w:hAnsi="Times New Roman;serif"/>
          <w:b w:val="false"/>
          <w:i/>
          <w:color w:val="000000"/>
          <w:sz w:val="20"/>
        </w:rPr>
        <w:t>APPLE, GOOGLE, FACEBOOK, 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xml:space="preserve">.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Revenue generated via the proprietary direct-to-consumer platform continues to increase and represented approximately 17% of total SciPlay revenue for the nine months ended September 30, 2025.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continues to deliver steady results and quality payer engagement and monetization. Revenue decreased by 4% and 3% for the three and nine months ended September 30, 2025, respectively, which was primarily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color w:val="000000"/>
          <w:sz w:val="20"/>
        </w:rPr>
        <w:t>Casino, partially offset by an increase in average monthly revenue per paying user. Additionally, the overall social casino industry is experiencing pressures from sweepstakes operators. SciPlay continues to deploy strategic game updates, utilize enhanced analytics, pursue international expansion and benefit from the proprietary direct-to-consumer platform.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5264" w:type="dxa"/>
        <w:jc w:val="center"/>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c>
      </w:tr>
    </w:tbl>
    <w:p>
      <w:pPr>
        <w:pStyle w:val="TextBody"/>
        <w:bidi w:val="0"/>
        <w:spacing w:before="0" w:after="100"/>
        <w:jc w:val="center"/>
        <w:rPr/>
      </w:pPr>
      <w:r>
        <w:rPr/>
        <w:drawing>
          <wp:inline distT="0" distB="0" distL="0" distR="0">
            <wp:extent cx="2152650" cy="214312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8"/>
                    <a:stretch>
                      <a:fillRect/>
                    </a:stretch>
                  </pic:blipFill>
                  <pic:spPr bwMode="auto">
                    <a:xfrm>
                      <a:off x="0" y="0"/>
                      <a:ext cx="2152650" cy="2143125"/>
                    </a:xfrm>
                    <a:prstGeom prst="rect">
                      <a:avLst/>
                    </a:prstGeom>
                  </pic:spPr>
                </pic:pic>
              </a:graphicData>
            </a:graphic>
          </wp:inline>
        </w:drawing>
      </w:r>
      <w:bookmarkStart w:id="6" w:name="i-7"/>
      <w:bookmarkEnd w:id="6"/>
      <w:r>
        <w:rPr/>
        <w:drawing>
          <wp:inline distT="0" distB="0" distL="0" distR="0">
            <wp:extent cx="2143125" cy="2143125"/>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9"/>
                    <a:stretch>
                      <a:fillRect/>
                    </a:stretch>
                  </pic:blipFill>
                  <pic:spPr bwMode="auto">
                    <a:xfrm>
                      <a:off x="0" y="0"/>
                      <a:ext cx="2143125" cy="2143125"/>
                    </a:xfrm>
                    <a:prstGeom prst="rect">
                      <a:avLst/>
                    </a:prstGeom>
                  </pic:spPr>
                </pic:pic>
              </a:graphicData>
            </a:graphic>
          </wp:inline>
        </w:drawing>
      </w:r>
      <w:bookmarkStart w:id="7" w:name="i-8"/>
      <w:bookmarkEnd w:id="7"/>
      <w:r>
        <w:rPr/>
        <w:drawing>
          <wp:inline distT="0" distB="0" distL="0" distR="0">
            <wp:extent cx="2143125" cy="21431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0"/>
                    <a:stretch>
                      <a:fillRect/>
                    </a:stretch>
                  </pic:blipFill>
                  <pic:spPr bwMode="auto">
                    <a:xfrm>
                      <a:off x="0" y="0"/>
                      <a:ext cx="2143125" cy="2143125"/>
                    </a:xfrm>
                    <a:prstGeom prst="rect">
                      <a:avLst/>
                    </a:prstGeom>
                  </pic:spPr>
                </pic:pic>
              </a:graphicData>
            </a:graphic>
          </wp:inline>
        </w:drawing>
      </w:r>
      <w:bookmarkStart w:id="8" w:name="i-9"/>
      <w:bookmarkEnd w:id="8"/>
    </w:p>
    <w:tbl>
      <w:tblPr>
        <w:tblW w:w="7152" w:type="dxa"/>
        <w:jc w:val="center"/>
        <w:tblInd w:w="0" w:type="dxa"/>
        <w:tblLayout w:type="fixed"/>
        <w:tblCellMar>
          <w:top w:w="28" w:type="dxa"/>
          <w:left w:w="28" w:type="dxa"/>
          <w:bottom w:w="28" w:type="dxa"/>
          <w:right w:w="28" w:type="dxa"/>
        </w:tblCellMar>
      </w:tblPr>
      <w:tblGrid>
        <w:gridCol w:w="179"/>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75" w:type="dxa"/>
            <w:gridSpan w:val="30"/>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49" w:type="dxa"/>
            <w:gridSpan w:val="12"/>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45"/>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(1) Other primarily represents advertising revenue, which was not material for the periods presented. </w:t>
            </w:r>
          </w:p>
        </w:tc>
      </w:tr>
      <w:tr>
        <w:trPr/>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648" w:type="dxa"/>
        <w:jc w:val="center"/>
        <w:tblInd w:w="0" w:type="dxa"/>
        <w:tblLayout w:type="fixed"/>
        <w:tblCellMar>
          <w:top w:w="28" w:type="dxa"/>
          <w:left w:w="28" w:type="dxa"/>
          <w:bottom w:w="28" w:type="dxa"/>
          <w:right w:w="28" w:type="dxa"/>
        </w:tblCellMar>
      </w:tblPr>
      <w:tblGrid>
        <w:gridCol w:w="1027"/>
        <w:gridCol w:w="380"/>
        <w:gridCol w:w="274"/>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188"/>
        <w:gridCol w:w="188"/>
        <w:gridCol w:w="271"/>
        <w:gridCol w:w="109"/>
        <w:gridCol w:w="109"/>
        <w:gridCol w:w="109"/>
        <w:gridCol w:w="211"/>
        <w:gridCol w:w="721"/>
        <w:gridCol w:w="271"/>
        <w:gridCol w:w="109"/>
        <w:gridCol w:w="109"/>
        <w:gridCol w:w="109"/>
        <w:gridCol w:w="211"/>
        <w:gridCol w:w="721"/>
        <w:gridCol w:w="271"/>
        <w:gridCol w:w="109"/>
        <w:gridCol w:w="109"/>
        <w:gridCol w:w="109"/>
        <w:gridCol w:w="211"/>
        <w:gridCol w:w="511"/>
        <w:gridCol w:w="271"/>
        <w:gridCol w:w="109"/>
        <w:gridCol w:w="109"/>
        <w:gridCol w:w="109"/>
        <w:gridCol w:w="188"/>
        <w:gridCol w:w="188"/>
        <w:gridCol w:w="271"/>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481" w:type="dxa"/>
            <w:gridSpan w:val="4"/>
            <w:tcBorders/>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 unless otherwise noted)</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In-App Purchases: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MAU</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DAU</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ARPDAU</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MPUs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AMRPPU</w:t>
            </w:r>
            <w:r>
              <w:rPr>
                <w:rFonts w:ascii="Times New Roman;serif" w:hAnsi="Times New Roman;serif"/>
                <w:b w:val="false"/>
                <w:color w:val="000000"/>
                <w:sz w:val="13"/>
              </w:rPr>
              <w:t>(6)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Payer Conversion Rate</w:t>
            </w:r>
            <w:r>
              <w:rPr>
                <w:rFonts w:ascii="Times New Roman;serif" w:hAnsi="Times New Roman;serif"/>
                <w:b w:val="false"/>
                <w:color w:val="000000"/>
                <w:sz w:val="13"/>
              </w:rPr>
              <w:t>(7)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7"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pp = percentage points.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MAU = Monthly Active Users is a count of visitors to our sites during a month.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DAU = Daily Active Users is a count of visitors to our sites during a day.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MPU = Monthly Paying Users is the number of individual users who made an in-game purchase during a particular month.</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 Payer conversion rate is calculated by dividing average MPU for the period by the average MAU for the same period.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by 4% and 3% for the three and nine months ended September 30, 2025, respectively, primarily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color w:val="000000"/>
          <w:sz w:val="20"/>
        </w:rPr>
        <w:t>Casino and partially offset by an increase in average monthly revenue per paying user.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MAU and average MPU for the three and nine months ended September 30, 2025 decreased due to the turnover in users. ARPDAU increased as a function of higher player monetization with a slight decrease in average DAU. AMRPPU increased, despite payer conversion decreasing slightly, as SciPlay continues to improve content and features, resulting in steady paying player interaction.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Payer conversion rates decreased slightly but remained near 10% due to consistent payer interaction with the games as a result of SciPlay’s focus on introducing new content, features and live events in games.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decreased 11% and 7% for the three and nine months ended September 30, 2025, respectively, as compared to the prior year periods, which was primarily driven by lower cost of revenue due to higher margins on our direct-to-consumer platform revenue, lower salaries and benefits (including stock-based compensation) of $5 million and $12 million, respectively, and lower user acquisition costs of $5 million and $9 million,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for the three and nine months ended September 30, 2025 increased by $5 million and $11 million, respectively, and AEBITDA margin increased by 4 percentage points to 36% and 3 percentage points to 35%, respectively, primarily due revenue generated via our proprietary direct-to-consumer platform, which generates higher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expand our customer base and capitalize on growth in the North American and International markets, including emerging markets, by leveraging our industry leading platforms, content and solutions, as well as investing in our ability to scale our own original U.S. and international land-based content offering.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decision made in the first quarter of 2025, the Company has continued to execute on the discontinuation of its Live Casino operations. This reflects our commitment to reallocate resources to maximize our return on investments, and we do not expect that this decision will have a material impact on our iGaming business’s long-term growth prospects.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w:t>
      </w:r>
    </w:p>
    <w:tbl>
      <w:tblPr>
        <w:tblW w:w="5264" w:type="dxa"/>
        <w:jc w:val="center"/>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Nine Months Ended September 30, 2025 and 2024</w:t>
            </w:r>
          </w:p>
        </w:tc>
      </w:tr>
    </w:tbl>
    <w:p>
      <w:pPr>
        <w:pStyle w:val="TextBody"/>
        <w:bidi w:val="0"/>
        <w:spacing w:before="0" w:after="160"/>
        <w:jc w:val="center"/>
        <w:rPr/>
      </w:pPr>
      <w:r>
        <w:rPr/>
        <w:drawing>
          <wp:inline distT="0" distB="0" distL="0" distR="0">
            <wp:extent cx="2152650" cy="21431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2152650" cy="2143125"/>
                    </a:xfrm>
                    <a:prstGeom prst="rect">
                      <a:avLst/>
                    </a:prstGeom>
                  </pic:spPr>
                </pic:pic>
              </a:graphicData>
            </a:graphic>
          </wp:inline>
        </w:drawing>
      </w:r>
      <w:bookmarkStart w:id="9" w:name="i-10"/>
      <w:bookmarkEnd w:id="9"/>
      <w:r>
        <w:rPr/>
        <w:drawing>
          <wp:inline distT="0" distB="0" distL="0" distR="0">
            <wp:extent cx="2143125" cy="21431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2143125" cy="2143125"/>
                    </a:xfrm>
                    <a:prstGeom prst="rect">
                      <a:avLst/>
                    </a:prstGeom>
                  </pic:spPr>
                </pic:pic>
              </a:graphicData>
            </a:graphic>
          </wp:inline>
        </w:drawing>
      </w:r>
      <w:bookmarkStart w:id="10" w:name="i-11"/>
      <w:bookmarkEnd w:id="10"/>
      <w:r>
        <w:rPr/>
        <w:drawing>
          <wp:inline distT="0" distB="0" distL="0" distR="0">
            <wp:extent cx="2143125" cy="21431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2143125" cy="2143125"/>
                    </a:xfrm>
                    <a:prstGeom prst="rect">
                      <a:avLst/>
                    </a:prstGeom>
                  </pic:spPr>
                </pic:pic>
              </a:graphicData>
            </a:graphic>
          </wp:inline>
        </w:drawing>
      </w:r>
      <w:bookmarkStart w:id="11" w:name="i-12"/>
      <w:bookmarkEnd w:id="11"/>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for the three and nine months ended September 30, 2025 increased 16% and 10%, respectively, as compared to the prior year periods, primarily driven by continuing momentum in the North American market underpinned by 1PP growth and the expansion of our partner network. Wagers processed through our Open Gaming System for the current year periods increased to $28.0 billion and $79.8 billion,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2% for the nine months ended September 30, 2025 in correlation with the increase in revenue and also due to $10 million in restructuring costs, largely related to the discontinuation of our Live Casino operations, partially offset by decreases in intangible asset amortization expense and salaries and benefits expense. AEBITDA increased 42% and 22% for the three and nine months ended September 30, 2025, respectively, and AEBITDA margin increased to 40% and 36% for the three and nine months ended September 30, 2025, respectively, primarily due to lower operating expenses (excluding cost of revenue and R&amp;O) and higher margin on 1PP.</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RECENTLY ISSUED ACCOUNTING GUIDANCE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 description of our policies regarding our critical accounting estimates, see “Critical Accounting Estimates” in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2024 10-K.</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2024 10-K, except as set forth below.</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Business Combinations and Goodwill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estimated the economic lives of certain acquired assets in connection with the Grover acquisition, and these lives are used to calculate D&amp;A expense. If our estimates of the economic lives change, D&amp;A expense could be accelerated or slowed. For example, if the Grover intangible assets useful lives were extended by two years, the total annual depreciation and amortization would decrease by approximately $7 million, and if the useful lives were shortened by two years, the total annual depreciation and amortization would increase by approximately $14 million. See Note 1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pPr>
      <w:r>
        <w:rPr>
          <w:rFonts w:ascii="Times New Roman;serif" w:hAnsi="Times New Roman;serif"/>
          <w:b w:val="false"/>
          <w:color w:val="000000"/>
          <w:sz w:val="20"/>
        </w:rPr>
        <w:t>After the acquisition of Grover, we have now determined that we have seven reporting units:</w:t>
      </w:r>
      <w:r>
        <w:rPr>
          <w:color w:val="000000"/>
        </w:rPr>
        <w:t xml:space="preserve"> </w:t>
      </w:r>
      <w:r>
        <w:rPr>
          <w:rFonts w:ascii="Times New Roman;serif" w:hAnsi="Times New Roman;serif"/>
          <w:b w:val="false"/>
          <w:color w:val="000000"/>
          <w:sz w:val="20"/>
        </w:rPr>
        <w:t>Gaming, Grover, U.K. Gaming, Casino Management Systems, Table Products, SciPlay and iGaming. There have been no other changes to our goodwill impairment testing policy. We test goodwill for impairment at the reporting unit level (operating segment or one level below an operating segment) on October 1 or sooner if an event occurs or circumstances change that would more likely than not reduce the fair value of a reporting unit below its carrying value. No such events or circumstances have occurred as of September 30, 2025, or through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LIQUIDITY, CAPITAL RESOURCES AND WORKING CAPITAL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principal sources of liquidity, other than cash flows provided by operating activities, were cash and cash equivalents as well as amounts available under the LNWI Revolver.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Revolver Capacity</w:t>
      </w:r>
    </w:p>
    <w:tbl>
      <w:tblPr>
        <w:tblW w:w="5787" w:type="dxa"/>
        <w:jc w:val="center"/>
        <w:tblInd w:w="0" w:type="dxa"/>
        <w:tblLayout w:type="fixed"/>
        <w:tblCellMar>
          <w:top w:w="28" w:type="dxa"/>
          <w:left w:w="28" w:type="dxa"/>
          <w:bottom w:w="28" w:type="dxa"/>
          <w:right w:w="28" w:type="dxa"/>
        </w:tblCellMar>
      </w:tblPr>
      <w:tblGrid>
        <w:gridCol w:w="818"/>
        <w:gridCol w:w="718"/>
        <w:gridCol w:w="729"/>
        <w:gridCol w:w="362"/>
        <w:gridCol w:w="1056"/>
        <w:gridCol w:w="187"/>
        <w:gridCol w:w="109"/>
        <w:gridCol w:w="109"/>
        <w:gridCol w:w="109"/>
        <w:gridCol w:w="402"/>
        <w:gridCol w:w="891"/>
        <w:gridCol w:w="297"/>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capacity</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Revolver capacity drawn </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cash held by our foreign subsidiaries was $164 million and $127 million as of September 30, 2025 and December 31, 2024,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operations generally require significant upfront capital expenditures, and we may need to incur additional capital expenditures in order to retain or increase market share and continue our product investments. For certain game sales in which control of the units have transferred to a customer, but the title transfer is pending until the final payment is made, we have elected to designate future collections as restricted cash until the resolution of the Aristocrat legal matter (for additional information on our legal proceedings, see Note 15 in this Form 10-Q and Note 19 in our 2024 Form 10-K).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2024 10-K, other than those associated with our amended credit facility and changes to our debt issuance, as described below and in Note 10.</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erif" w:hAnsi="Times New Roman;serif"/>
          <w:b w:val="false"/>
          <w:i/>
          <w:color w:val="000000"/>
          <w:sz w:val="20"/>
        </w:rPr>
        <w:t xml:space="preserve">Part I, Item 1A </w:t>
      </w:r>
      <w:r>
        <w:rPr>
          <w:rFonts w:ascii="Times New Roman;serif" w:hAnsi="Times New Roman;serif"/>
          <w:b w:val="false"/>
          <w:color w:val="000000"/>
          <w:sz w:val="20"/>
        </w:rPr>
        <w:t>in our 2024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2024, our Board of Directors approved a share repurchase program, and on July 31, 2025, our Board of Directors increased the share repurchase program, under which the Company is authorized to repurchase, from time to time through June 12, 2027, up to an aggregate amount of $1.5 billion of shares of outstanding common stock. For the year-to-date period ended October 31, 2025, we repurchased approximately 5.6 million shares of common stock at an aggregate cost of $481 million (including excise tax).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10, 2025, we amended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and (iii) reduced the applicable margin for the revolving loans by up to 50 basis points.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15, 2025,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 Loans under the LNWI Term Loan A will mature on May 15, 2028 and, beginning with the first fiscal quarter ending on September 30, 2025, will amortize in quarterly installments in aggregate amounts equal to: (i) for the first four full fiscal quarters following the TLA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24, 2025, we issued $1.0 billion in aggregate principal amount of 6.250% senior unsecured notes due 2033 and received net proceeds of $988 million, which were used to redeem all $700 million of the 2028 Unsecured Notes, pay all outstanding borrowings under the LNWI Revolver and pay accrued and unpaid interest thereon plus related fees and expenses. The 2033 Unsecured Notes bear interest at the rate of 6.250% per annum, which accrues from September 24, 2025 and is payable semiannually in arrears on April 1 and October 1 of each year, beginning on April 1, 2026. See Note 10 for further details on our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1876"/>
        <w:gridCol w:w="1603"/>
        <w:gridCol w:w="1597"/>
        <w:gridCol w:w="278"/>
        <w:gridCol w:w="615"/>
        <w:gridCol w:w="143"/>
        <w:gridCol w:w="143"/>
        <w:gridCol w:w="143"/>
        <w:gridCol w:w="143"/>
        <w:gridCol w:w="278"/>
        <w:gridCol w:w="700"/>
        <w:gridCol w:w="143"/>
        <w:gridCol w:w="109"/>
        <w:gridCol w:w="796"/>
        <w:gridCol w:w="109"/>
        <w:gridCol w:w="109"/>
        <w:gridCol w:w="109"/>
        <w:gridCol w:w="280"/>
        <w:gridCol w:w="619"/>
        <w:gridCol w:w="144"/>
        <w:gridCol w:w="109"/>
        <w:gridCol w:w="159"/>
      </w:tblGrid>
      <w:tr>
        <w:trPr/>
        <w:tc>
          <w:tcPr>
            <w:tcW w:w="187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38" w:type="dxa"/>
            <w:gridSpan w:val="8"/>
            <w:tcBorders/>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3664"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1850"/>
        <w:gridCol w:w="1622"/>
        <w:gridCol w:w="1640"/>
        <w:gridCol w:w="286"/>
        <w:gridCol w:w="633"/>
        <w:gridCol w:w="148"/>
        <w:gridCol w:w="148"/>
        <w:gridCol w:w="148"/>
        <w:gridCol w:w="148"/>
        <w:gridCol w:w="286"/>
        <w:gridCol w:w="633"/>
        <w:gridCol w:w="148"/>
        <w:gridCol w:w="109"/>
        <w:gridCol w:w="796"/>
        <w:gridCol w:w="109"/>
        <w:gridCol w:w="109"/>
        <w:gridCol w:w="109"/>
        <w:gridCol w:w="314"/>
        <w:gridCol w:w="538"/>
        <w:gridCol w:w="162"/>
        <w:gridCol w:w="109"/>
        <w:gridCol w:w="160"/>
      </w:tblGrid>
      <w:tr>
        <w:trPr/>
        <w:tc>
          <w:tcPr>
            <w:tcW w:w="185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10" w:type="dxa"/>
            <w:gridSpan w:val="8"/>
            <w:tcBorders/>
          </w:tcPr>
          <w:p>
            <w:pPr>
              <w:pStyle w:val="TableContents"/>
              <w:bidi w:val="0"/>
              <w:spacing w:before="0" w:after="283"/>
              <w:jc w:val="left"/>
              <w:rPr>
                <w:sz w:val="4"/>
                <w:szCs w:val="4"/>
              </w:rPr>
            </w:pPr>
            <w:r>
              <w:rPr>
                <w:sz w:val="4"/>
                <w:szCs w:val="4"/>
              </w:rPr>
            </w:r>
          </w:p>
        </w:tc>
      </w:tr>
      <w:tr>
        <w:trPr/>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reconcile net income to cash provided by operating activities </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primarily due to a $162 million increase in earnings (drivers of which are described above), partially offset by changes in working capital accounts. Changes in working capital accounts for the nine months ended September 30, 2025 as compared to the nine months ended September 30, 2024 were negatively impacted by the $73 million TCS John Huxley legal matter settlement payment and $18 million in higher interest payments, coupled with the timing of collection of receivables and increased inventory levels.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primarily due to the Grover acquisition, partially offset by lower capital expenditures related to the timing of investments in Gaming operations. Capital expenditures are composed of investments in gaming operations, systems, equipment and other assets related to contracts, property and equipment, intangible assets and software.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primarily driven by $1.8 billion of borrowings incurred under the LNWI Term Loan A and 2033 Unsecured Notes, net of $700 million used to redeem the 2028 Unsecured Notes. We also purchased more of our outstanding common stock under our share repurchase programs. During the nine months ended September 30, 2025 and 2024, we paid (including excise tax) $380 million and $219 million, respectively, to purchase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Agreement and Other Debt</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additional information regarding the LNWI Credit Agreement and other debt, interest rate risk and interest rate hedging instruments, see Notes 14 and 15 and </w:t>
      </w:r>
      <w:r>
        <w:rPr>
          <w:rFonts w:ascii="Times New Roman;serif" w:hAnsi="Times New Roman;serif"/>
          <w:b w:val="false"/>
          <w:i/>
          <w:color w:val="000000"/>
          <w:sz w:val="20"/>
        </w:rPr>
        <w:t>Item 7A</w:t>
      </w:r>
      <w:r>
        <w:rPr>
          <w:color w:val="000000"/>
        </w:rPr>
        <w:t xml:space="preserve"> “</w:t>
      </w:r>
      <w:r>
        <w:rPr>
          <w:rFonts w:ascii="Times New Roman;serif" w:hAnsi="Times New Roman;serif"/>
          <w:b w:val="false"/>
          <w:color w:val="000000"/>
          <w:sz w:val="20"/>
        </w:rPr>
        <w:t xml:space="preserve">Quantitative and Qualitative Disclosures About Market Risk” in our 2024 10-K as well as Notes 10 and 11 and </w:t>
      </w:r>
      <w:r>
        <w:rPr>
          <w:rFonts w:ascii="Times New Roman;serif" w:hAnsi="Times New Roman;serif"/>
          <w:b w:val="false"/>
          <w:i/>
          <w:color w:val="000000"/>
          <w:sz w:val="20"/>
        </w:rPr>
        <w:t>Item 3</w:t>
      </w:r>
      <w:r>
        <w:rPr>
          <w:color w:val="000000"/>
        </w:rPr>
        <w:t xml:space="preserve"> </w:t>
      </w:r>
      <w:r>
        <w:rPr>
          <w:rFonts w:ascii="Times New Roman;serif" w:hAnsi="Times New Roman;serif"/>
          <w:b w:val="false"/>
          <w:color w:val="000000"/>
          <w:sz w:val="20"/>
        </w:rPr>
        <w:t>below in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exchange rates and commodity prices. The following describes our financial instruments which expose us to market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face value of long-term debt was $5.0 billion, including $2.9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$29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long-term debt and interest rate swap contracts, see Notes 10 and 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September 30, 2025.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we completed the Grover acquisition (see Note 1). We are in the process of integrating Grover and our internal controls over financial reporting. As a result of these integration activities, certain controls will be evaluated and may be revised. There were no other changes in our internal control over financial reporting during the quarter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of our legal proceedings, see Note 15, in this Quarterly Report on Form 10-Q and Note 19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Except as set forth below, there have been no material changes in our risk factors from those disclosed under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included in our 2024 10-K.</w:t>
      </w:r>
    </w:p>
    <w:p>
      <w:pPr>
        <w:pStyle w:val="TextBody"/>
        <w:bidi w:val="0"/>
        <w:spacing w:lineRule="auto" w:line="288" w:before="0" w:after="160"/>
        <w:ind w:left="0" w:right="0" w:firstLine="720"/>
        <w:jc w:val="left"/>
        <w:rPr>
          <w:rFonts w:ascii="Times New Roman;serif" w:hAnsi="Times New Roman;serif"/>
          <w:b/>
          <w:i/>
          <w:color w:val="000000"/>
          <w:sz w:val="20"/>
        </w:rPr>
      </w:pPr>
      <w:r>
        <w:rPr>
          <w:rFonts w:ascii="Times New Roman;serif" w:hAnsi="Times New Roman;serif"/>
          <w:b/>
          <w:i/>
          <w:color w:val="000000"/>
          <w:sz w:val="20"/>
        </w:rPr>
        <w:t>Unfavorable U.S. and international economic conditions, decreased discretionary spending, travel or operational disruptions due to other factors such as inflation, rising benchmark interest rates, new or increased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have resulted, and may continue to result, in decreased discretionary spending or travel by consumers and have had, any may continue to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new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increased tariffs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recession, new or increased tariffs,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In addition, unfavorable economic conditions have caused, and may cause in the future, some of our Gaming customers to temporarily close gaming venues or ultimately declare bankruptcy, which adversely affects our business. Further, our Gaming customers could elect to modify their replacement cycles or otherwise delay purchases and capital expenditures they would have otherwise made.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SciPlay business, while we maintain offices in the U.S., we have employees and consultants operating in foreign jurisdictions, including Israel. In the foreign jurisdictions in which SciPlay operates, conditions such as political instability, inflation, slower growth or recession, new or increased tariffs,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be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and Puerto Rico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Changes in international trade policy, including the imposition of tariffs and the resulting consequences, may have a material adverse impact on our business, operating results,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has adopted new approaches to trade policy and in some cases, may renegotiate, or potentially terminate, certain existing bilateral or multi-lateral trade agreement. The U.S. government has also imposed tariffs on certain foreign goods and has raised the possibility of imposing significant, additional tariff increases or expanding the tariffs to capture other countries and types of foreign goods. In addition, in response to tariffs, other countries have implemented retaliatory tariffs on U.S. goods.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yet predict the full effect of the recently imposed U.S. tariffs on imports, or the extent to which other countries will impose quotas, duties, tariffs, taxes or other similar restrictions upon the import or export of materials in the future, nor can we predict future trade policy or the terms of any renegotiated trade agreements and their impact on our business. As we currently source a portion of our Gaming Business raw materials and components from China and across Asia, any additional duties imposed on imports may materially impact our supply chain by making it more difficult or costly to procure these items. Potential adverse impacts on our operating results include increased costs for our products and disruptions in our manufacturing and supply. The overall impact of trade policy and laws on our business depends on multiple factors, including their duration, their scope and its potential expansion, enforcement, retaliatory measures by impacted exporting countries, inflationary effects and broader macroeconomic responses, changes to consumer purchasing behavior, and the effectiveness of our responses in managing these impacts. While we believe we can adapt our business strategy to mitigate these effects, there is no assurance that these efforts will fully offset any increased costs.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political tensions as a result of trade policies could reduce trade volume, investment and other economic activities between major international economies, resulting in a material adverse effect on global economic conditions and the stability of global financial markets. Uncertainties in global economic conditions have in the past negatively impacted discretionary consumer spending. As our revenue in our Gaming and iGaming businesses is largely driven by players’ disposable incomes and level of gaming activity, a downturn in the economic environment may in turn have a material adverse impact on our business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Company has determined to pursue a sole primary listing on the ASX, meaning we intend to delist our securities from Nasdaq, which could negatively affect the liquidity and trading prices of our common stock, and could result in a decline in stock prices and could limit investors’ ability to trade in our securities.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remains focused on enhancing the liquidity and market capitalization of its ASX listing and has determined to pursue a sole primary listing on the ASX and delist our securities from Nasdaq. Such delisting, if consummated, could result in a decrease in disclosure or other information (including analyst coverage) about the Company, impact our access to the capital markets (including by limiting our ability to issue additional securities or obtain additional financing) and decrease the liquidity and trading prices of our common stock (even though stockholders may still continue to trade our common stock on an over-the-counter (“OTC”)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repurchased 1.2 million shares under the share repurchase programs during the three months ended September 30, 2025.</w:t>
      </w:r>
    </w:p>
    <w:tbl>
      <w:tblPr>
        <w:tblW w:w="10205" w:type="dxa"/>
        <w:jc w:val="center"/>
        <w:tblInd w:w="0" w:type="dxa"/>
        <w:tblLayout w:type="fixed"/>
        <w:tblCellMar>
          <w:top w:w="28" w:type="dxa"/>
          <w:left w:w="28" w:type="dxa"/>
          <w:bottom w:w="28" w:type="dxa"/>
          <w:right w:w="28" w:type="dxa"/>
        </w:tblCellMar>
      </w:tblPr>
      <w:tblGrid>
        <w:gridCol w:w="385"/>
        <w:gridCol w:w="338"/>
        <w:gridCol w:w="340"/>
        <w:gridCol w:w="120"/>
        <w:gridCol w:w="120"/>
        <w:gridCol w:w="120"/>
        <w:gridCol w:w="468"/>
        <w:gridCol w:w="468"/>
        <w:gridCol w:w="469"/>
        <w:gridCol w:w="120"/>
        <w:gridCol w:w="120"/>
        <w:gridCol w:w="120"/>
        <w:gridCol w:w="339"/>
        <w:gridCol w:w="992"/>
        <w:gridCol w:w="175"/>
        <w:gridCol w:w="120"/>
        <w:gridCol w:w="120"/>
        <w:gridCol w:w="120"/>
        <w:gridCol w:w="392"/>
        <w:gridCol w:w="867"/>
        <w:gridCol w:w="203"/>
        <w:gridCol w:w="120"/>
        <w:gridCol w:w="120"/>
        <w:gridCol w:w="120"/>
        <w:gridCol w:w="840"/>
        <w:gridCol w:w="1857"/>
        <w:gridCol w:w="63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Purchased as Part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Publicly Announced</w:t>
            </w:r>
          </w:p>
          <w:p>
            <w:pPr>
              <w:pStyle w:val="TableContents"/>
              <w:bidi w:val="0"/>
              <w:spacing w:lineRule="auto" w:line="240" w:before="0" w:after="0"/>
              <w:jc w:val="center"/>
              <w:rPr/>
            </w:pPr>
            <w:r>
              <w:rPr>
                <w:rFonts w:ascii="Times New Roman;serif" w:hAnsi="Times New Roman;serif"/>
                <w:b/>
                <w:color w:val="000000"/>
                <w:sz w:val="18"/>
              </w:rPr>
              <w:t>Programs</w:t>
            </w:r>
            <w:r>
              <w:rPr>
                <w:rFonts w:ascii="Times New Roman;serif" w:hAnsi="Times New Roman;serif"/>
                <w:b/>
                <w:color w:val="000000"/>
                <w:sz w:val="12"/>
              </w:rPr>
              <w:t>(1)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Cost of Repurchase </w:t>
            </w:r>
          </w:p>
          <w:p>
            <w:pPr>
              <w:pStyle w:val="TableContents"/>
              <w:bidi w:val="0"/>
              <w:spacing w:lineRule="auto" w:line="240" w:before="0" w:after="0"/>
              <w:jc w:val="center"/>
              <w:rPr/>
            </w:pPr>
            <w:r>
              <w:rPr>
                <w:rFonts w:ascii="Times New Roman;serif" w:hAnsi="Times New Roman;serif"/>
                <w:b/>
                <w:color w:val="000000"/>
                <w:sz w:val="18"/>
              </w:rPr>
              <w:t>(in millions)</w:t>
            </w:r>
            <w:r>
              <w:rPr>
                <w:rFonts w:ascii="Times New Roman;serif" w:hAnsi="Times New Roman;serif"/>
                <w:b/>
                <w:color w:val="000000"/>
                <w:sz w:val="12"/>
              </w:rPr>
              <w:t>(2)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Programs (in millions)</w:t>
            </w:r>
            <w:r>
              <w:rPr>
                <w:rFonts w:ascii="Times New Roman;serif" w:hAnsi="Times New Roman;serif"/>
                <w:b/>
                <w:color w:val="000000"/>
                <w:sz w:val="12"/>
              </w:rPr>
              <w:t>(2)</w:t>
            </w:r>
          </w:p>
        </w:tc>
      </w:tr>
      <w:tr>
        <w:trPr/>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7/1/2025 - 7/31/2025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8/1/2025 - 8/31/2025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9/1/2025 - 9/30/2025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On June 11, 2024, our Board of Directors (“Board”) approved a new share repurchase program under which the Company was authorized to repurchase from time to time through June 12, 2027, up to an aggregate amount of $1.0 billion in shares of our common stock. On July 31, 2025, the Board approved an increase of such share repurchase program from $1.0 billion to $1.5 billion.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Average price paid per share is calculated on a settlement basis and excludes excise tax. As of January 1, 2023, our share repurchases in excess of issuances are subject to a 1% excise tax enacted by the Inflation Reduction Act, resulting in $3 million recorded as of September 30, 2025. Any excise tax incurred is recognized in stockholders’ equity as part of the cost basis of the shares acquired.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September 30, 2025, no director or officer of the Company adopted or terminated a "Rule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54"/>
        <w:gridCol w:w="310"/>
        <w:gridCol w:w="311"/>
        <w:gridCol w:w="109"/>
        <w:gridCol w:w="109"/>
        <w:gridCol w:w="109"/>
        <w:gridCol w:w="2696"/>
        <w:gridCol w:w="2560"/>
        <w:gridCol w:w="3647"/>
      </w:tblGrid>
      <w:tr>
        <w:trPr/>
        <w:tc>
          <w:tcPr>
            <w:tcW w:w="3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Asset Purchase Agreement, dated as of February 17, 2025, by and among Grover Gaming, Inc., G2 Gaming, Inc. and LNW Gaming, Inc. (incorporated by reference to Exhibit 2.1 to Light &amp; Wonder, Inc.'s Current Report on Form 8-K filed February 18, 2025).</w:t>
              </w:r>
            </w:hyperlink>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Third Amended and Restated Bylaws of Light &amp; Wonder, Inc., effective as of August 3, 2023 (incorporated by reference to Exhibit 3.2 to Light &amp; Wonder, Inc.’s Quarterly Report on Form 10-Q for the quarter ended June 30, 2023).</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dated as of September 24, 2025, among Light and Wonder International, Inc., as issuer, Light &amp; Wonder, Inc., the other guarantors party thereto and Deutsche Bank Trust Company Americas, as trustee, relating to the 6.250% Senior Unsecured Notes due 2033 (incorporated by reference to Exhibit 4.1 to Light &amp; Wonder, Inc.'s Current Report on Form 8-K filed September 24, 2025).</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q325certificationofc.htm">
              <w:r>
                <w:rPr>
                  <w:rStyle w:val="InternetLink"/>
                  <w:rFonts w:ascii="Times New Roman;serif" w:hAnsi="Times New Roman;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325certificationofc.htm">
              <w:r>
                <w:rPr>
                  <w:rStyle w:val="InternetLink"/>
                  <w:rFonts w:ascii="Times New Roman;serif" w:hAnsi="Times New Roman;serif"/>
                  <w:b w:val="false"/>
                  <w:color w:val="0000FF"/>
                  <w:sz w:val="20"/>
                  <w:u w:val="single"/>
                </w:rPr>
                <w:t>Certification of the Chief Financial Officer of Light &amp; Wonder, Inc. pursuant to Rule 13a-14(a), as adopted pursuant to Section 302 of the Sarbanes-Oxley Act of 2002.(†)</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q325certificationofc.htm">
              <w:r>
                <w:rPr>
                  <w:rStyle w:val="InternetLink"/>
                  <w:rFonts w:ascii="Times New Roman;serif" w:hAnsi="Times New Roman;serif"/>
                  <w:b w:val="false"/>
                  <w:color w:val="0000FF"/>
                  <w:sz w:val="20"/>
                  <w:u w:val="single"/>
                </w:rPr>
                <w:t>Certification of the Chief Executive Officer of Light &amp; Wonder, Inc. pursuant to 18 U.S.C. Section 1350, as adopted pursuant to Section 906 of the Sarbanes-Oxley Act of 2002.*</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q325certificationofc.htm">
              <w:r>
                <w:rPr>
                  <w:rStyle w:val="InternetLink"/>
                  <w:rFonts w:ascii="Times New Roman;serif" w:hAnsi="Times New Roman;serif"/>
                  <w:b w:val="false"/>
                  <w:color w:val="0000FF"/>
                  <w:sz w:val="20"/>
                  <w:u w:val="single"/>
                </w:rPr>
                <w:t>Certification of the Chief Financial Officer of Light &amp; Wonder, Inc. pursuant to 18 U.S.C. Section 1350, as adopted pursuant to Section 906 of the Sarbanes-Oxley Act of 2002.*</w:t>
              </w:r>
            </w:hyperlink>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3"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Label Linkbase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8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9"/>
        <w:gridCol w:w="239"/>
        <w:gridCol w:w="239"/>
        <w:gridCol w:w="239"/>
        <w:gridCol w:w="239"/>
        <w:gridCol w:w="239"/>
        <w:gridCol w:w="1546"/>
        <w:gridCol w:w="1546"/>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14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by Chief Executive Officer Pursuant to Section 302 of the Sarbanes-Oxley Act of 2002</w:t>
      </w:r>
    </w:p>
    <w:p>
      <w:pPr>
        <w:pStyle w:val="TextBody"/>
        <w:bidi w:val="0"/>
        <w:spacing w:before="0" w:after="0"/>
        <w:jc w:val="center"/>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Matthew R. Wilson,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144" w:type="dxa"/>
        <w:jc w:val="left"/>
        <w:tblInd w:w="0" w:type="dxa"/>
        <w:tblLayout w:type="fixed"/>
        <w:tblCellMar>
          <w:top w:w="28" w:type="dxa"/>
          <w:left w:w="28" w:type="dxa"/>
          <w:bottom w:w="28" w:type="dxa"/>
          <w:right w:w="28" w:type="dxa"/>
        </w:tblCellMar>
      </w:tblPr>
      <w:tblGrid>
        <w:gridCol w:w="685"/>
        <w:gridCol w:w="602"/>
        <w:gridCol w:w="857"/>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Certification by Chief Financial Officer Pursuant to Section 302 of the Sarbanes-Oxley Act of 2002</w:t>
      </w:r>
    </w:p>
    <w:p>
      <w:pPr>
        <w:pStyle w:val="TextBody"/>
        <w:bidi w:val="0"/>
        <w:spacing w:before="0" w:after="0"/>
        <w:ind w:left="0" w:right="0" w:firstLine="450"/>
        <w:jc w:val="left"/>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Oliver Chow,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144" w:type="dxa"/>
        <w:jc w:val="left"/>
        <w:tblInd w:w="0" w:type="dxa"/>
        <w:tblLayout w:type="fixed"/>
        <w:tblCellMar>
          <w:top w:w="28" w:type="dxa"/>
          <w:left w:w="28" w:type="dxa"/>
          <w:bottom w:w="28" w:type="dxa"/>
          <w:right w:w="28" w:type="dxa"/>
        </w:tblCellMar>
      </w:tblPr>
      <w:tblGrid>
        <w:gridCol w:w="684"/>
        <w:gridCol w:w="600"/>
        <w:gridCol w:w="860"/>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/s/ Oliver Chow</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Oliver Chow</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September 30, 2025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before="0" w:after="0"/>
        <w:ind w:left="0" w:right="0" w:firstLine="405"/>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September 30, 2025 as filed with the Securities and Exchange Commission on the date hereof (the “Report”), I, Oliver Chow, Chief Financial Officer of the Company, certify,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750004/000110465925014535/tm256405d1_ex2-1.htm" TargetMode="External"/><Relationship Id="rId15" Type="http://schemas.openxmlformats.org/officeDocument/2006/relationships/hyperlink" Target="https://www.sec.gov/Archives/edgar/data/750004/000075000422000025/ex31arestatedarticlesofinc.htm" TargetMode="External"/><Relationship Id="rId16" Type="http://schemas.openxmlformats.org/officeDocument/2006/relationships/hyperlink" Target="https://www.sec.gov/Archives/edgar/data/750004/000075000423000031/ex32-thirdamendedandrestat.htm" TargetMode="External"/><Relationship Id="rId17" Type="http://schemas.openxmlformats.org/officeDocument/2006/relationships/hyperlink" Target="https://www.sec.gov/Archives/edgar/data/750004/000110465925092953/tm2526791d1_ex4-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27153</Words>
  <Characters>146907</Characters>
  <CharactersWithSpaces>171969</CharactersWithSpaces>
  <Paragraphs>3539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