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Odell Jamie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 &amp; WONDER,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6601 BERMUDA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Light &amp; Wonder, Inc.</w:t>
              </w:r>
            </w:hyperlink>
            <w:r>
              <w:rPr/>
              <w:t xml:space="preserve"> [ </w:t>
            </w:r>
            <w:r>
              <w:rPr>
                <w:rFonts w:ascii="Times;serif" w:hAnsi="Times;serif"/>
                <w:color w:val="0000FF"/>
                <w:sz w:val="24"/>
                <w:shd w:fill="FFFFFF" w:val="clear"/>
              </w:rPr>
              <w:t>ASX:LNW</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ASX:LNW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6"/>
        <w:gridCol w:w="950"/>
        <w:gridCol w:w="817"/>
        <w:gridCol w:w="631"/>
        <w:gridCol w:w="346"/>
        <w:gridCol w:w="818"/>
        <w:gridCol w:w="418"/>
        <w:gridCol w:w="591"/>
        <w:gridCol w:w="1124"/>
        <w:gridCol w:w="977"/>
        <w:gridCol w:w="164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4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128,997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132,331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18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Superannuation Fund</w:t>
            </w:r>
            <w:r>
              <w:rPr>
                <w:rFonts w:ascii="Times;serif" w:hAnsi="Times;serif"/>
                <w:color w:val="008000"/>
                <w:position w:val="7"/>
                <w:sz w:val="16"/>
                <w:sz w:val="20"/>
                <w:shd w:fill="FFFFFF" w:val="clear"/>
              </w:rPr>
              <w:t>(3)</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held by New Dusk Pty Ltd (Odell Family Trust), of which Mr. Odell serves as a director and a shareholder and is a beneficiary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held by the Jamie and Caroline Odell Superannuation Fund, a fund of which Mr. Odell is the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vesting of one-third of the restricted stock units granted on December 11, 2023. The award has fully vested. Each unit converted into a share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vesting of one-third of the restricted stock units granted on December 11, 2023. The award has fully vested. Each unit converted into a share of common stock on a one-for-one basis.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Sweta Gabhawala, attorney-in-fact for Jamie Odell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4876" TargetMode="External"/><Relationship Id="rId5" Type="http://schemas.openxmlformats.org/officeDocument/2006/relationships/hyperlink" Target="http://www.sec.gov/cgi-bin/browse-edgar?action=getcompany&amp;CIK=0000750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4243</Characters>
  <CharactersWithSpaces>4941</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