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Korsanos Antonia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134,901</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3,334</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138,235</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child</w:t>
            </w:r>
            <w:r>
              <w:rPr>
                <w:rFonts w:ascii="Times;serif" w:hAnsi="Times;serif"/>
                <w:color w:val="008000"/>
                <w:position w:val="7"/>
                <w:sz w:val="16"/>
                <w:sz w:val="20"/>
                <w:shd w:fill="FFFFFF" w:val="clear"/>
              </w:rPr>
              <w:t>(2)</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are held via CHESS Depositary Interests ("CDIs"), which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shares held by her child. This report should not be deemed an admission that the reporting person is the beneficial owner of her child's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vesting of one-third of the restricted stock units granted on December 11, 2023. The award has fully vested. Each unit converted into a share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vesting of one-third of the restricted stock units granted on December 11, 2023. The award has fully vested. Each unit converted into a share of common stock on a one-for-one basis.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Antonia Korsanos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5242"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789</Words>
  <Characters>4165</Characters>
  <CharactersWithSpaces>4849</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